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ED237" w14:textId="77777777" w:rsidR="00B634C1" w:rsidRDefault="00B634C1" w:rsidP="00204224">
      <w:pPr>
        <w:ind w:right="-716"/>
      </w:pPr>
    </w:p>
    <w:p w14:paraId="79132E44" w14:textId="77777777" w:rsidR="00B634C1" w:rsidRDefault="00B634C1" w:rsidP="00204224">
      <w:pPr>
        <w:ind w:right="-716"/>
      </w:pPr>
    </w:p>
    <w:p w14:paraId="6FE2DFEF" w14:textId="77777777" w:rsidR="00B634C1" w:rsidRDefault="00B634C1" w:rsidP="00204224">
      <w:pPr>
        <w:ind w:right="-716"/>
      </w:pPr>
    </w:p>
    <w:p w14:paraId="0FBAB3CE" w14:textId="13AF2691" w:rsidR="00204224" w:rsidRPr="006416C9" w:rsidRDefault="0095756C" w:rsidP="00204224">
      <w:pPr>
        <w:ind w:left="-567" w:right="-716"/>
        <w:jc w:val="right"/>
        <w:rPr>
          <w:rFonts w:ascii="Calibri Light" w:hAnsi="Calibri Light"/>
          <w:b/>
        </w:rPr>
      </w:pPr>
      <w:r>
        <w:rPr>
          <w:rFonts w:ascii="Calibri Light" w:hAnsi="Calibri Light"/>
          <w:b/>
        </w:rPr>
        <w:t>November 7</w:t>
      </w:r>
      <w:r w:rsidR="00204224" w:rsidRPr="006416C9">
        <w:rPr>
          <w:rFonts w:ascii="Calibri Light" w:hAnsi="Calibri Light"/>
          <w:b/>
        </w:rPr>
        <w:t>, 2017</w:t>
      </w:r>
    </w:p>
    <w:p w14:paraId="08908FA6" w14:textId="77777777" w:rsidR="00204224" w:rsidRPr="006416C9" w:rsidRDefault="00204224" w:rsidP="00204224">
      <w:pPr>
        <w:ind w:left="-567" w:right="-716"/>
        <w:jc w:val="right"/>
        <w:rPr>
          <w:rFonts w:ascii="Calibri Light" w:hAnsi="Calibri Light"/>
          <w:b/>
        </w:rPr>
      </w:pPr>
    </w:p>
    <w:p w14:paraId="2CE3946B" w14:textId="77777777" w:rsidR="00204224" w:rsidRPr="006416C9" w:rsidRDefault="00204224" w:rsidP="00204224">
      <w:pPr>
        <w:ind w:left="-567" w:right="-716"/>
        <w:jc w:val="center"/>
        <w:rPr>
          <w:rFonts w:ascii="Calibri Light" w:hAnsi="Calibri Light"/>
          <w:b/>
        </w:rPr>
      </w:pPr>
      <w:r w:rsidRPr="006416C9">
        <w:rPr>
          <w:rFonts w:ascii="Calibri Light" w:hAnsi="Calibri Light"/>
          <w:b/>
        </w:rPr>
        <w:t xml:space="preserve">ITAC </w:t>
      </w:r>
      <w:r>
        <w:rPr>
          <w:rFonts w:ascii="Calibri Light" w:hAnsi="Calibri Light"/>
          <w:b/>
        </w:rPr>
        <w:t>SUBMISSION</w:t>
      </w:r>
      <w:r w:rsidRPr="006416C9">
        <w:rPr>
          <w:rFonts w:ascii="Calibri Light" w:hAnsi="Calibri Light"/>
          <w:b/>
        </w:rPr>
        <w:t xml:space="preserve"> TO INDU COMMITTEE REVIEW OF CANADA’S ANTI SPAM LEGISLATION </w:t>
      </w:r>
    </w:p>
    <w:p w14:paraId="31C1A0CB" w14:textId="77777777" w:rsidR="00204224" w:rsidRPr="006416C9" w:rsidRDefault="00204224" w:rsidP="00204224">
      <w:pPr>
        <w:tabs>
          <w:tab w:val="left" w:pos="8074"/>
        </w:tabs>
        <w:ind w:left="-567" w:right="-716"/>
        <w:rPr>
          <w:rFonts w:ascii="Calibri Light" w:hAnsi="Calibri Light"/>
          <w:b/>
        </w:rPr>
      </w:pPr>
      <w:r>
        <w:rPr>
          <w:rFonts w:ascii="Calibri Light" w:hAnsi="Calibri Light"/>
          <w:b/>
        </w:rPr>
        <w:tab/>
      </w:r>
    </w:p>
    <w:p w14:paraId="6C425001" w14:textId="31F9C4A4" w:rsidR="00204224" w:rsidRDefault="00204224" w:rsidP="00204224">
      <w:pPr>
        <w:ind w:left="-567" w:right="-716"/>
        <w:rPr>
          <w:rFonts w:ascii="Calibri Light" w:hAnsi="Calibri Light"/>
        </w:rPr>
      </w:pPr>
      <w:r w:rsidRPr="006416C9">
        <w:rPr>
          <w:rFonts w:ascii="Calibri Light" w:hAnsi="Calibri Light"/>
        </w:rPr>
        <w:t>On October 17</w:t>
      </w:r>
      <w:r w:rsidRPr="006416C9">
        <w:rPr>
          <w:rFonts w:ascii="Calibri Light" w:hAnsi="Calibri Light"/>
          <w:vertAlign w:val="superscript"/>
        </w:rPr>
        <w:t>th</w:t>
      </w:r>
      <w:r>
        <w:rPr>
          <w:rFonts w:ascii="Calibri Light" w:hAnsi="Calibri Light"/>
        </w:rPr>
        <w:t xml:space="preserve">, David Messer of the Information Technology Association of Canada (ITAC) testified as part of the INDU Committee’s review of Canada’s Anti-Spam Legislation. ITAC’s general remarks identified </w:t>
      </w:r>
      <w:r w:rsidRPr="006416C9">
        <w:rPr>
          <w:rFonts w:ascii="Calibri Light" w:hAnsi="Calibri Light"/>
        </w:rPr>
        <w:t>significant challenges th</w:t>
      </w:r>
      <w:r>
        <w:rPr>
          <w:rFonts w:ascii="Calibri Light" w:hAnsi="Calibri Light"/>
        </w:rPr>
        <w:t>at CASL’s</w:t>
      </w:r>
      <w:r w:rsidRPr="006416C9">
        <w:rPr>
          <w:rFonts w:ascii="Calibri Light" w:hAnsi="Calibri Light"/>
        </w:rPr>
        <w:t xml:space="preserve"> overly broad sco</w:t>
      </w:r>
      <w:r>
        <w:rPr>
          <w:rFonts w:ascii="Calibri Light" w:hAnsi="Calibri Light"/>
        </w:rPr>
        <w:t xml:space="preserve">pe and </w:t>
      </w:r>
      <w:r w:rsidRPr="006416C9">
        <w:rPr>
          <w:rFonts w:ascii="Calibri Light" w:hAnsi="Calibri Light"/>
        </w:rPr>
        <w:t>prescriptive requirements</w:t>
      </w:r>
      <w:r>
        <w:rPr>
          <w:rFonts w:ascii="Calibri Light" w:hAnsi="Calibri Light"/>
        </w:rPr>
        <w:t xml:space="preserve"> have created for legitimate businesses, including how some elements of CASL, such as the computer software requirements, undermine innovation and cybersecurity.  </w:t>
      </w:r>
    </w:p>
    <w:p w14:paraId="47042269" w14:textId="77777777" w:rsidR="00204224" w:rsidRDefault="00204224" w:rsidP="00204224">
      <w:pPr>
        <w:ind w:left="-567" w:right="-716"/>
        <w:rPr>
          <w:rFonts w:ascii="Calibri Light" w:hAnsi="Calibri Light"/>
        </w:rPr>
      </w:pPr>
      <w:bookmarkStart w:id="0" w:name="_GoBack"/>
      <w:bookmarkEnd w:id="0"/>
    </w:p>
    <w:p w14:paraId="04A8ED4A" w14:textId="77777777" w:rsidR="00204224" w:rsidRPr="006416C9" w:rsidRDefault="00204224" w:rsidP="00204224">
      <w:pPr>
        <w:ind w:left="-567" w:right="-716"/>
        <w:rPr>
          <w:rFonts w:ascii="Calibri Light" w:hAnsi="Calibri Light"/>
        </w:rPr>
      </w:pPr>
      <w:r>
        <w:rPr>
          <w:rFonts w:ascii="Calibri Light" w:hAnsi="Calibri Light"/>
        </w:rPr>
        <w:t>To</w:t>
      </w:r>
      <w:r w:rsidRPr="006416C9">
        <w:rPr>
          <w:rFonts w:ascii="Calibri Light" w:hAnsi="Calibri Light"/>
        </w:rPr>
        <w:t xml:space="preserve"> </w:t>
      </w:r>
      <w:r>
        <w:rPr>
          <w:rFonts w:ascii="Calibri Light" w:hAnsi="Calibri Light"/>
        </w:rPr>
        <w:t xml:space="preserve">counteract these unintended consequences, and to </w:t>
      </w:r>
      <w:r w:rsidRPr="006416C9">
        <w:rPr>
          <w:rFonts w:ascii="Calibri Light" w:hAnsi="Calibri Light"/>
        </w:rPr>
        <w:t xml:space="preserve">better address the </w:t>
      </w:r>
      <w:r>
        <w:rPr>
          <w:rFonts w:ascii="Calibri Light" w:hAnsi="Calibri Light"/>
        </w:rPr>
        <w:t>statutory</w:t>
      </w:r>
      <w:r w:rsidRPr="006416C9">
        <w:rPr>
          <w:rFonts w:ascii="Calibri Light" w:hAnsi="Calibri Light"/>
        </w:rPr>
        <w:t xml:space="preserve"> objective of CASL – </w:t>
      </w:r>
      <w:r>
        <w:rPr>
          <w:rFonts w:ascii="Calibri Light" w:hAnsi="Calibri Light"/>
        </w:rPr>
        <w:t xml:space="preserve">i.e. </w:t>
      </w:r>
      <w:r w:rsidRPr="006416C9">
        <w:rPr>
          <w:rFonts w:ascii="Calibri Light" w:hAnsi="Calibri Light"/>
        </w:rPr>
        <w:t xml:space="preserve">promoting the growth of the digital economy – </w:t>
      </w:r>
      <w:r>
        <w:rPr>
          <w:rFonts w:ascii="Calibri Light" w:hAnsi="Calibri Light"/>
        </w:rPr>
        <w:t xml:space="preserve">there is a pressing need to </w:t>
      </w:r>
      <w:r w:rsidRPr="006416C9">
        <w:rPr>
          <w:rFonts w:ascii="Calibri Light" w:hAnsi="Calibri Light"/>
        </w:rPr>
        <w:t>re</w:t>
      </w:r>
      <w:r>
        <w:rPr>
          <w:rFonts w:ascii="Calibri Light" w:hAnsi="Calibri Light"/>
        </w:rPr>
        <w:t>balance</w:t>
      </w:r>
      <w:r w:rsidRPr="006416C9">
        <w:rPr>
          <w:rFonts w:ascii="Calibri Light" w:hAnsi="Calibri Light"/>
        </w:rPr>
        <w:t xml:space="preserve"> the legislation and enforcement</w:t>
      </w:r>
      <w:r>
        <w:rPr>
          <w:rFonts w:ascii="Calibri Light" w:hAnsi="Calibri Light"/>
        </w:rPr>
        <w:t xml:space="preserve"> actions</w:t>
      </w:r>
      <w:r w:rsidRPr="006416C9">
        <w:rPr>
          <w:rFonts w:ascii="Calibri Light" w:hAnsi="Calibri Light"/>
        </w:rPr>
        <w:t xml:space="preserve"> to better target malicious actors, botnets and harmful spammers, </w:t>
      </w:r>
      <w:r>
        <w:rPr>
          <w:rFonts w:ascii="Calibri Light" w:hAnsi="Calibri Light"/>
        </w:rPr>
        <w:t>and make it</w:t>
      </w:r>
      <w:r w:rsidRPr="006416C9">
        <w:rPr>
          <w:rFonts w:ascii="Calibri Light" w:hAnsi="Calibri Light"/>
        </w:rPr>
        <w:t xml:space="preserve"> easier and less costly for legitimate businesses to comply with CASL requirements.  </w:t>
      </w:r>
    </w:p>
    <w:p w14:paraId="5FA3ECDF" w14:textId="77777777" w:rsidR="00204224" w:rsidRPr="006416C9" w:rsidRDefault="00204224" w:rsidP="00204224">
      <w:pPr>
        <w:ind w:left="-567" w:right="-716"/>
        <w:rPr>
          <w:rFonts w:ascii="Calibri Light" w:hAnsi="Calibri Light"/>
        </w:rPr>
      </w:pPr>
    </w:p>
    <w:p w14:paraId="2EC321AC" w14:textId="77777777" w:rsidR="00204224" w:rsidRDefault="00204224" w:rsidP="00204224">
      <w:pPr>
        <w:ind w:left="-567" w:right="-716"/>
        <w:rPr>
          <w:rFonts w:ascii="Calibri Light" w:hAnsi="Calibri Light"/>
        </w:rPr>
      </w:pPr>
      <w:r w:rsidRPr="006416C9">
        <w:rPr>
          <w:rFonts w:ascii="Calibri Light" w:hAnsi="Calibri Light"/>
        </w:rPr>
        <w:t xml:space="preserve">ITAC has </w:t>
      </w:r>
      <w:r>
        <w:rPr>
          <w:rFonts w:ascii="Calibri Light" w:hAnsi="Calibri Light"/>
        </w:rPr>
        <w:t xml:space="preserve">set out below 12 proposed </w:t>
      </w:r>
      <w:r w:rsidRPr="006416C9">
        <w:rPr>
          <w:rFonts w:ascii="Calibri Light" w:hAnsi="Calibri Light"/>
        </w:rPr>
        <w:t>amendments</w:t>
      </w:r>
      <w:r>
        <w:rPr>
          <w:rFonts w:ascii="Calibri Light" w:hAnsi="Calibri Light"/>
        </w:rPr>
        <w:t xml:space="preserve"> to CASL that, if adopted, </w:t>
      </w:r>
      <w:r w:rsidRPr="006416C9">
        <w:rPr>
          <w:rFonts w:ascii="Calibri Light" w:hAnsi="Calibri Light"/>
        </w:rPr>
        <w:t xml:space="preserve">will </w:t>
      </w:r>
      <w:r>
        <w:rPr>
          <w:rFonts w:ascii="Calibri Light" w:hAnsi="Calibri Light"/>
        </w:rPr>
        <w:t xml:space="preserve">bring CASL into </w:t>
      </w:r>
      <w:r w:rsidRPr="006416C9">
        <w:rPr>
          <w:rFonts w:ascii="Calibri Light" w:hAnsi="Calibri Light"/>
        </w:rPr>
        <w:t xml:space="preserve">balance with its statutory objective. </w:t>
      </w:r>
      <w:r>
        <w:rPr>
          <w:rFonts w:ascii="Calibri Light" w:hAnsi="Calibri Light"/>
        </w:rPr>
        <w:t xml:space="preserve"> </w:t>
      </w:r>
    </w:p>
    <w:p w14:paraId="0EEF843A" w14:textId="77777777" w:rsidR="00204224" w:rsidRDefault="00204224" w:rsidP="00204224">
      <w:pPr>
        <w:ind w:left="-567" w:right="-716"/>
        <w:rPr>
          <w:rFonts w:ascii="Calibri Light" w:hAnsi="Calibri Light"/>
        </w:rPr>
      </w:pPr>
    </w:p>
    <w:p w14:paraId="15B05627" w14:textId="77777777" w:rsidR="00204224" w:rsidRDefault="00204224" w:rsidP="00204224">
      <w:pPr>
        <w:ind w:left="-567" w:right="-716"/>
        <w:rPr>
          <w:rFonts w:ascii="Calibri Light" w:hAnsi="Calibri Light"/>
        </w:rPr>
      </w:pPr>
      <w:r>
        <w:rPr>
          <w:rFonts w:ascii="Calibri Light" w:hAnsi="Calibri Light"/>
        </w:rPr>
        <w:t xml:space="preserve">The amendments have been carefully drafted so that they do not undermine how CASL regulates harmful spam, malware and other malicious online activities.  They do not change the basic structure of the law – including the opt-in consent model – or the penalties that can be imposed on bad actors.  Rather, they provide practical suggestions for eliminating CASL’s unintended impacts on legitimate businesses, while retaining the elements of the law that are designed to protect consumers.   </w:t>
      </w:r>
    </w:p>
    <w:p w14:paraId="28E5C8AC" w14:textId="77777777" w:rsidR="00204224" w:rsidRDefault="00204224" w:rsidP="00204224">
      <w:pPr>
        <w:ind w:left="-567" w:right="-716"/>
        <w:rPr>
          <w:rFonts w:ascii="Calibri Light" w:hAnsi="Calibri Light"/>
        </w:rPr>
      </w:pPr>
    </w:p>
    <w:p w14:paraId="1250324C" w14:textId="77777777" w:rsidR="00204224" w:rsidRPr="006416C9" w:rsidRDefault="00204224" w:rsidP="00204224">
      <w:pPr>
        <w:ind w:left="-567" w:right="-716"/>
        <w:rPr>
          <w:rFonts w:ascii="Calibri Light" w:hAnsi="Calibri Light"/>
        </w:rPr>
      </w:pPr>
      <w:r>
        <w:rPr>
          <w:rFonts w:ascii="Calibri Light" w:hAnsi="Calibri Light"/>
        </w:rPr>
        <w:t xml:space="preserve">ITAC’s proposed amendments ensure that CASL will </w:t>
      </w:r>
      <w:r w:rsidRPr="006416C9">
        <w:rPr>
          <w:rFonts w:ascii="Calibri Light" w:hAnsi="Calibri Light"/>
        </w:rPr>
        <w:t>“clean the pipes”</w:t>
      </w:r>
      <w:r>
        <w:rPr>
          <w:rFonts w:ascii="Calibri Light" w:hAnsi="Calibri Light"/>
        </w:rPr>
        <w:t xml:space="preserve"> of negative elements</w:t>
      </w:r>
      <w:r w:rsidRPr="006416C9">
        <w:rPr>
          <w:rFonts w:ascii="Calibri Light" w:hAnsi="Calibri Light"/>
        </w:rPr>
        <w:t xml:space="preserve">, while helping to overcome the concerns </w:t>
      </w:r>
      <w:r>
        <w:rPr>
          <w:rFonts w:ascii="Calibri Light" w:hAnsi="Calibri Light"/>
        </w:rPr>
        <w:t xml:space="preserve">within the innovation economy and among </w:t>
      </w:r>
      <w:r w:rsidRPr="006416C9">
        <w:rPr>
          <w:rFonts w:ascii="Calibri Light" w:hAnsi="Calibri Light"/>
        </w:rPr>
        <w:t xml:space="preserve">SMEs and </w:t>
      </w:r>
      <w:r>
        <w:rPr>
          <w:rFonts w:ascii="Calibri Light" w:hAnsi="Calibri Light"/>
        </w:rPr>
        <w:t>other businesses</w:t>
      </w:r>
      <w:r w:rsidRPr="006416C9">
        <w:rPr>
          <w:rFonts w:ascii="Calibri Light" w:hAnsi="Calibri Light"/>
        </w:rPr>
        <w:t xml:space="preserve"> that the compliance </w:t>
      </w:r>
      <w:r>
        <w:rPr>
          <w:rFonts w:ascii="Calibri Light" w:hAnsi="Calibri Light"/>
        </w:rPr>
        <w:t>challenges</w:t>
      </w:r>
      <w:r w:rsidRPr="006416C9">
        <w:rPr>
          <w:rFonts w:ascii="Calibri Light" w:hAnsi="Calibri Light"/>
        </w:rPr>
        <w:t xml:space="preserve"> and costs</w:t>
      </w:r>
      <w:r>
        <w:rPr>
          <w:rFonts w:ascii="Calibri Light" w:hAnsi="Calibri Light"/>
        </w:rPr>
        <w:t xml:space="preserve"> are excessive and unworkable.  </w:t>
      </w:r>
      <w:r w:rsidRPr="006416C9">
        <w:rPr>
          <w:rFonts w:ascii="Calibri Light" w:hAnsi="Calibri Light"/>
        </w:rPr>
        <w:t xml:space="preserve">  </w:t>
      </w:r>
    </w:p>
    <w:p w14:paraId="29A64FD9" w14:textId="77777777" w:rsidR="00204224" w:rsidRDefault="00204224" w:rsidP="00204224">
      <w:pPr>
        <w:ind w:left="-567" w:right="-716"/>
        <w:rPr>
          <w:rFonts w:ascii="Calibri Light" w:hAnsi="Calibri Light"/>
        </w:rPr>
      </w:pPr>
    </w:p>
    <w:p w14:paraId="6C52012F" w14:textId="77777777" w:rsidR="00204224" w:rsidRPr="00D7294C" w:rsidRDefault="00204224" w:rsidP="00204224">
      <w:pPr>
        <w:ind w:left="-567" w:right="-716"/>
        <w:rPr>
          <w:rFonts w:ascii="Calibri Light" w:hAnsi="Calibri Light"/>
          <w:b/>
        </w:rPr>
      </w:pPr>
      <w:r>
        <w:rPr>
          <w:rFonts w:ascii="Calibri Light" w:hAnsi="Calibri Light"/>
          <w:b/>
        </w:rPr>
        <w:t>Proposed Amendments</w:t>
      </w:r>
    </w:p>
    <w:p w14:paraId="2104619C" w14:textId="77777777" w:rsidR="00204224" w:rsidRPr="006416C9" w:rsidRDefault="00204224" w:rsidP="00204224">
      <w:pPr>
        <w:ind w:left="-567" w:right="-716"/>
        <w:rPr>
          <w:rFonts w:ascii="Calibri Light" w:hAnsi="Calibri Light"/>
        </w:rPr>
      </w:pPr>
    </w:p>
    <w:p w14:paraId="40216920" w14:textId="77777777" w:rsidR="00204224" w:rsidRPr="006416C9" w:rsidRDefault="00204224" w:rsidP="00204224">
      <w:pPr>
        <w:numPr>
          <w:ilvl w:val="0"/>
          <w:numId w:val="2"/>
        </w:numPr>
        <w:spacing w:line="276" w:lineRule="auto"/>
        <w:ind w:left="-567" w:right="-716"/>
        <w:contextualSpacing/>
        <w:rPr>
          <w:rFonts w:ascii="Calibri Light" w:hAnsi="Calibri Light" w:cs="Arial"/>
          <w:lang w:eastAsia="en-CA"/>
        </w:rPr>
      </w:pPr>
      <w:r w:rsidRPr="006416C9">
        <w:rPr>
          <w:rFonts w:ascii="Calibri Light" w:hAnsi="Calibri Light" w:cs="Arial"/>
          <w:b/>
        </w:rPr>
        <w:t>Narrow the scope of “commercial electronic message”</w:t>
      </w:r>
      <w:r w:rsidRPr="006416C9">
        <w:rPr>
          <w:rFonts w:ascii="Calibri Light" w:hAnsi="Calibri Light" w:cs="Arial"/>
        </w:rPr>
        <w:t xml:space="preserve"> so that CASL regulates only messages the purpose of which is (a) advertising, marketing, promoting or otherwise offering a product, good, service, land, business, investment or gaming opportunity, or (b) promoting a person, including the public image of a person, as being a person who does anything referred to in (a).  Doing so will provide </w:t>
      </w:r>
      <w:r>
        <w:rPr>
          <w:rFonts w:ascii="Calibri Light" w:hAnsi="Calibri Light" w:cs="Arial"/>
        </w:rPr>
        <w:t>the necessary</w:t>
      </w:r>
      <w:r w:rsidRPr="006416C9">
        <w:rPr>
          <w:rFonts w:ascii="Calibri Light" w:hAnsi="Calibri Light" w:cs="Arial"/>
        </w:rPr>
        <w:t xml:space="preserve"> clarity as to when CASL’s e-messaging rules apply</w:t>
      </w:r>
      <w:r>
        <w:rPr>
          <w:rFonts w:ascii="Calibri Light" w:hAnsi="Calibri Light" w:cs="Arial"/>
        </w:rPr>
        <w:t>,</w:t>
      </w:r>
      <w:r w:rsidRPr="006416C9">
        <w:rPr>
          <w:rFonts w:ascii="Calibri Light" w:hAnsi="Calibri Light" w:cs="Arial"/>
        </w:rPr>
        <w:t xml:space="preserve"> and </w:t>
      </w:r>
      <w:r>
        <w:rPr>
          <w:rFonts w:ascii="Calibri Light" w:hAnsi="Calibri Light" w:cs="Arial"/>
        </w:rPr>
        <w:t xml:space="preserve">will </w:t>
      </w:r>
      <w:r w:rsidRPr="006416C9">
        <w:rPr>
          <w:rFonts w:ascii="Calibri Light" w:hAnsi="Calibri Light" w:cs="Arial"/>
        </w:rPr>
        <w:t>ensure that these rules do not apply to factual or transactional messages</w:t>
      </w:r>
      <w:r>
        <w:rPr>
          <w:rFonts w:ascii="Calibri Light" w:hAnsi="Calibri Light" w:cs="Arial"/>
        </w:rPr>
        <w:t xml:space="preserve"> (e.g., a text message from a service provider that a customer is “now roaming”)</w:t>
      </w:r>
      <w:r w:rsidRPr="006416C9">
        <w:rPr>
          <w:rFonts w:ascii="Calibri Light" w:hAnsi="Calibri Light" w:cs="Arial"/>
        </w:rPr>
        <w:t xml:space="preserve">.  </w:t>
      </w:r>
    </w:p>
    <w:p w14:paraId="5CCAC717" w14:textId="77777777" w:rsidR="00204224" w:rsidRPr="006416C9" w:rsidRDefault="00204224" w:rsidP="00204224">
      <w:pPr>
        <w:spacing w:line="276" w:lineRule="auto"/>
        <w:ind w:left="-567" w:right="-716"/>
        <w:contextualSpacing/>
        <w:rPr>
          <w:rFonts w:ascii="Calibri Light" w:hAnsi="Calibri Light" w:cs="Arial"/>
          <w:lang w:eastAsia="en-CA"/>
        </w:rPr>
      </w:pPr>
    </w:p>
    <w:p w14:paraId="6A44AEB8" w14:textId="77777777" w:rsidR="00204224" w:rsidRDefault="00204224" w:rsidP="00204224">
      <w:pPr>
        <w:numPr>
          <w:ilvl w:val="0"/>
          <w:numId w:val="2"/>
        </w:numPr>
        <w:spacing w:line="276" w:lineRule="auto"/>
        <w:ind w:left="-567" w:right="-716"/>
        <w:contextualSpacing/>
        <w:rPr>
          <w:rFonts w:ascii="Calibri Light" w:hAnsi="Calibri Light" w:cs="Arial"/>
        </w:rPr>
      </w:pPr>
      <w:r w:rsidRPr="006416C9">
        <w:rPr>
          <w:rFonts w:ascii="Calibri Light" w:hAnsi="Calibri Light" w:cs="Arial"/>
          <w:b/>
        </w:rPr>
        <w:lastRenderedPageBreak/>
        <w:t>Delete section 6(6).</w:t>
      </w:r>
      <w:r w:rsidRPr="006416C9">
        <w:rPr>
          <w:rFonts w:ascii="Calibri Light" w:hAnsi="Calibri Light" w:cs="Arial"/>
        </w:rPr>
        <w:t xml:space="preserve">  By narrowing the scope of CEM, section 6(6)</w:t>
      </w:r>
      <w:r>
        <w:rPr>
          <w:rFonts w:ascii="Calibri Light" w:hAnsi="Calibri Light" w:cs="Arial"/>
        </w:rPr>
        <w:t xml:space="preserve"> (which sets out an exception to consent for certain factual and transactional messages) </w:t>
      </w:r>
      <w:r w:rsidRPr="006416C9">
        <w:rPr>
          <w:rFonts w:ascii="Calibri Light" w:hAnsi="Calibri Light" w:cs="Arial"/>
        </w:rPr>
        <w:t>becomes unnecessary.  Removing section 6(6) will also make clear that CASL’s e-messaging rules do not apply to factual or transactional messages.</w:t>
      </w:r>
    </w:p>
    <w:p w14:paraId="67EFC23A" w14:textId="77777777" w:rsidR="00204224" w:rsidRPr="006416C9" w:rsidRDefault="00204224" w:rsidP="00204224">
      <w:pPr>
        <w:spacing w:line="276" w:lineRule="auto"/>
        <w:ind w:left="-567" w:right="-716"/>
        <w:contextualSpacing/>
        <w:rPr>
          <w:rFonts w:ascii="Calibri Light" w:hAnsi="Calibri Light" w:cs="Arial"/>
        </w:rPr>
      </w:pPr>
    </w:p>
    <w:p w14:paraId="73FB0ECC" w14:textId="77777777" w:rsidR="00204224" w:rsidRPr="006416C9" w:rsidRDefault="00204224" w:rsidP="00204224">
      <w:pPr>
        <w:numPr>
          <w:ilvl w:val="0"/>
          <w:numId w:val="2"/>
        </w:numPr>
        <w:spacing w:line="276" w:lineRule="auto"/>
        <w:ind w:left="-567" w:right="-716"/>
        <w:contextualSpacing/>
        <w:rPr>
          <w:rFonts w:ascii="Calibri Light" w:hAnsi="Calibri Light" w:cs="Arial"/>
        </w:rPr>
      </w:pPr>
      <w:r w:rsidRPr="006416C9">
        <w:rPr>
          <w:rFonts w:ascii="Calibri Light" w:hAnsi="Calibri Light" w:cs="Arial"/>
          <w:b/>
        </w:rPr>
        <w:t>Replace the concept of implied concept</w:t>
      </w:r>
      <w:r w:rsidRPr="006416C9">
        <w:rPr>
          <w:rFonts w:ascii="Calibri Light" w:hAnsi="Calibri Light" w:cs="Arial"/>
        </w:rPr>
        <w:t xml:space="preserve"> </w:t>
      </w:r>
      <w:r w:rsidRPr="006416C9">
        <w:rPr>
          <w:rFonts w:ascii="Calibri Light" w:hAnsi="Calibri Light" w:cs="Arial"/>
          <w:b/>
        </w:rPr>
        <w:t>arising from an existing business relationship with the concept of inferred consent from Australia’s anti-spam law:</w:t>
      </w:r>
      <w:r w:rsidRPr="006416C9">
        <w:rPr>
          <w:rFonts w:ascii="Calibri Light" w:hAnsi="Calibri Light" w:cs="Arial"/>
        </w:rPr>
        <w:t xml:space="preserve"> </w:t>
      </w:r>
      <w:r w:rsidRPr="006416C9">
        <w:rPr>
          <w:rFonts w:ascii="Calibri Light" w:hAnsi="Calibri Light" w:cs="Arial"/>
        </w:rPr>
        <w:br/>
      </w:r>
      <w:r w:rsidRPr="006416C9">
        <w:rPr>
          <w:rFonts w:ascii="Calibri Light" w:hAnsi="Calibri Light" w:cs="Arial"/>
          <w:lang w:val="en"/>
        </w:rPr>
        <w:t>“</w:t>
      </w:r>
      <w:r w:rsidRPr="006416C9">
        <w:rPr>
          <w:rFonts w:ascii="Calibri Light" w:hAnsi="Calibri Light" w:cs="Arial"/>
          <w:i/>
          <w:iCs/>
          <w:lang w:val="en"/>
        </w:rPr>
        <w:t xml:space="preserve">consent that can reasonably be inferred from: </w:t>
      </w:r>
      <w:r w:rsidRPr="006416C9">
        <w:rPr>
          <w:rFonts w:ascii="Calibri Light" w:hAnsi="Calibri Light" w:cs="Arial"/>
          <w:i/>
          <w:iCs/>
          <w:lang w:val="en"/>
        </w:rPr>
        <w:br/>
        <w:t>(</w:t>
      </w:r>
      <w:proofErr w:type="spellStart"/>
      <w:r w:rsidRPr="006416C9">
        <w:rPr>
          <w:rFonts w:ascii="Calibri Light" w:hAnsi="Calibri Light" w:cs="Arial"/>
          <w:i/>
          <w:iCs/>
          <w:lang w:val="en"/>
        </w:rPr>
        <w:t>i</w:t>
      </w:r>
      <w:proofErr w:type="spellEnd"/>
      <w:r w:rsidRPr="006416C9">
        <w:rPr>
          <w:rFonts w:ascii="Calibri Light" w:hAnsi="Calibri Light" w:cs="Arial"/>
          <w:i/>
          <w:iCs/>
          <w:lang w:val="en"/>
        </w:rPr>
        <w:t xml:space="preserve">) the conduct; and </w:t>
      </w:r>
      <w:r w:rsidRPr="006416C9">
        <w:rPr>
          <w:rFonts w:ascii="Calibri Light" w:hAnsi="Calibri Light" w:cs="Arial"/>
          <w:i/>
          <w:iCs/>
          <w:lang w:val="en"/>
        </w:rPr>
        <w:br/>
        <w:t>(ii) the business and other relationship</w:t>
      </w:r>
      <w:r>
        <w:rPr>
          <w:rFonts w:ascii="Calibri Light" w:hAnsi="Calibri Light" w:cs="Arial"/>
          <w:i/>
          <w:iCs/>
          <w:lang w:val="en"/>
        </w:rPr>
        <w:t xml:space="preserve">s; </w:t>
      </w:r>
      <w:r>
        <w:rPr>
          <w:rFonts w:ascii="Calibri Light" w:hAnsi="Calibri Light" w:cs="Arial"/>
          <w:i/>
          <w:iCs/>
          <w:lang w:val="en"/>
        </w:rPr>
        <w:br/>
        <w:t>of the individual or organiz</w:t>
      </w:r>
      <w:r w:rsidRPr="006416C9">
        <w:rPr>
          <w:rFonts w:ascii="Calibri Light" w:hAnsi="Calibri Light" w:cs="Arial"/>
          <w:i/>
          <w:iCs/>
          <w:lang w:val="en"/>
        </w:rPr>
        <w:t>ation concerned</w:t>
      </w:r>
      <w:r w:rsidRPr="006416C9">
        <w:rPr>
          <w:rFonts w:ascii="Calibri Light" w:hAnsi="Calibri Light" w:cs="Arial"/>
          <w:lang w:val="en"/>
        </w:rPr>
        <w:t xml:space="preserve">.” </w:t>
      </w:r>
    </w:p>
    <w:p w14:paraId="01739F40" w14:textId="77777777" w:rsidR="00204224" w:rsidRDefault="00204224" w:rsidP="00204224">
      <w:pPr>
        <w:pStyle w:val="RESONumbering"/>
        <w:numPr>
          <w:ilvl w:val="0"/>
          <w:numId w:val="0"/>
        </w:numPr>
        <w:tabs>
          <w:tab w:val="left" w:pos="720"/>
        </w:tabs>
        <w:spacing w:after="0"/>
        <w:ind w:left="-567" w:right="-716"/>
        <w:rPr>
          <w:rFonts w:ascii="Calibri Light" w:hAnsi="Calibri Light" w:cs="Arial"/>
          <w:sz w:val="24"/>
          <w:szCs w:val="24"/>
        </w:rPr>
      </w:pPr>
      <w:r w:rsidRPr="006416C9">
        <w:rPr>
          <w:rFonts w:ascii="Calibri Light" w:hAnsi="Calibri Light" w:cs="Arial"/>
          <w:sz w:val="24"/>
          <w:szCs w:val="24"/>
        </w:rPr>
        <w:t xml:space="preserve">The Australian approach </w:t>
      </w:r>
      <w:r>
        <w:rPr>
          <w:rFonts w:ascii="Calibri Light" w:hAnsi="Calibri Light" w:cs="Arial"/>
          <w:sz w:val="24"/>
          <w:szCs w:val="24"/>
        </w:rPr>
        <w:t xml:space="preserve">sets out </w:t>
      </w:r>
      <w:r w:rsidRPr="006416C9">
        <w:rPr>
          <w:rFonts w:ascii="Calibri Light" w:hAnsi="Calibri Light" w:cs="Arial"/>
          <w:sz w:val="24"/>
          <w:szCs w:val="24"/>
        </w:rPr>
        <w:t xml:space="preserve">a general </w:t>
      </w:r>
      <w:r>
        <w:rPr>
          <w:rFonts w:ascii="Calibri Light" w:hAnsi="Calibri Light" w:cs="Arial"/>
          <w:sz w:val="24"/>
          <w:szCs w:val="24"/>
        </w:rPr>
        <w:t xml:space="preserve">legislative </w:t>
      </w:r>
      <w:r w:rsidRPr="006416C9">
        <w:rPr>
          <w:rFonts w:ascii="Calibri Light" w:hAnsi="Calibri Light" w:cs="Arial"/>
          <w:sz w:val="24"/>
          <w:szCs w:val="24"/>
        </w:rPr>
        <w:t>principle that can be applied to any context, rather than prescriptive implied consent rules (as found in CASL) which, by their nature, do not address all situations in which it would be reasonable for implied consent to apply.</w:t>
      </w:r>
    </w:p>
    <w:p w14:paraId="4BB10688" w14:textId="77777777" w:rsidR="00204224" w:rsidRPr="00D7294C" w:rsidRDefault="00204224" w:rsidP="00204224">
      <w:pPr>
        <w:pStyle w:val="RESONumbering"/>
        <w:numPr>
          <w:ilvl w:val="0"/>
          <w:numId w:val="0"/>
        </w:numPr>
        <w:tabs>
          <w:tab w:val="left" w:pos="720"/>
        </w:tabs>
        <w:spacing w:after="0"/>
        <w:ind w:left="-567" w:right="-716"/>
        <w:rPr>
          <w:rFonts w:ascii="Calibri Light" w:hAnsi="Calibri Light" w:cs="Arial"/>
          <w:sz w:val="24"/>
          <w:szCs w:val="24"/>
        </w:rPr>
      </w:pPr>
    </w:p>
    <w:p w14:paraId="615476A8" w14:textId="77777777" w:rsidR="00204224" w:rsidRDefault="00204224" w:rsidP="00204224">
      <w:pPr>
        <w:numPr>
          <w:ilvl w:val="0"/>
          <w:numId w:val="2"/>
        </w:numPr>
        <w:spacing w:line="276" w:lineRule="auto"/>
        <w:ind w:left="-567" w:right="-716"/>
        <w:contextualSpacing/>
        <w:rPr>
          <w:rFonts w:ascii="Calibri Light" w:hAnsi="Calibri Light" w:cs="Arial"/>
        </w:rPr>
      </w:pPr>
      <w:r w:rsidRPr="006416C9">
        <w:rPr>
          <w:rFonts w:ascii="Calibri Light" w:hAnsi="Calibri Light" w:cs="Arial"/>
          <w:b/>
        </w:rPr>
        <w:t>Revise definition of “electronic address”</w:t>
      </w:r>
      <w:r w:rsidRPr="006416C9">
        <w:rPr>
          <w:rFonts w:ascii="Calibri Light" w:hAnsi="Calibri Light" w:cs="Arial"/>
        </w:rPr>
        <w:t xml:space="preserve"> by deleting “any similar account” or replacing “any similar account” with “any similar account prescribed by regulation that enables direct two-way communications using the electronic address”.  Allowing for similar accounts to be prescribed by regulation will ensure that there is careful consideration given as to whether CASL should apply to additional forms of digital communication.  Clarifying that “similar accounts” must enable direct two-way communications using the electronic address helps to provide certainty that CASL does not apply to online advertising, pop-up messages, online chats and similar communications.  </w:t>
      </w:r>
    </w:p>
    <w:p w14:paraId="0058FBE1" w14:textId="77777777" w:rsidR="00204224" w:rsidRPr="006416C9" w:rsidRDefault="00204224" w:rsidP="00204224">
      <w:pPr>
        <w:spacing w:line="276" w:lineRule="auto"/>
        <w:ind w:left="-567" w:right="-716"/>
        <w:contextualSpacing/>
        <w:rPr>
          <w:rFonts w:ascii="Calibri Light" w:hAnsi="Calibri Light" w:cs="Arial"/>
        </w:rPr>
      </w:pPr>
    </w:p>
    <w:p w14:paraId="70C388FA" w14:textId="77777777" w:rsidR="00204224" w:rsidRPr="00A31F9C" w:rsidRDefault="00204224" w:rsidP="00204224">
      <w:pPr>
        <w:numPr>
          <w:ilvl w:val="0"/>
          <w:numId w:val="2"/>
        </w:numPr>
        <w:spacing w:line="276" w:lineRule="auto"/>
        <w:ind w:left="-567" w:right="-716"/>
        <w:contextualSpacing/>
        <w:rPr>
          <w:rFonts w:ascii="Calibri Light" w:hAnsi="Calibri Light" w:cs="Arial"/>
          <w:lang w:val="en-CA"/>
        </w:rPr>
      </w:pPr>
      <w:r w:rsidRPr="006416C9">
        <w:rPr>
          <w:rFonts w:ascii="Calibri Light" w:hAnsi="Calibri Light" w:cs="Arial"/>
          <w:b/>
        </w:rPr>
        <w:t>Permit consents to be obtained on an enterprise basis</w:t>
      </w:r>
      <w:r w:rsidRPr="006416C9">
        <w:rPr>
          <w:rFonts w:ascii="Calibri Light" w:hAnsi="Calibri Light" w:cs="Arial"/>
        </w:rPr>
        <w:t xml:space="preserve"> where doing so would be consistent with the reasonable expectations of the recipient (e.g., across a brand).  This revision would reduce needless complexity and compliance costs, without subjecting a consumer to unexpected messages.</w:t>
      </w:r>
    </w:p>
    <w:p w14:paraId="186ADF67" w14:textId="77777777" w:rsidR="00204224" w:rsidRPr="006416C9" w:rsidRDefault="00204224" w:rsidP="00204224">
      <w:pPr>
        <w:spacing w:line="276" w:lineRule="auto"/>
        <w:ind w:left="-567" w:right="-716"/>
        <w:contextualSpacing/>
        <w:rPr>
          <w:rFonts w:ascii="Calibri Light" w:hAnsi="Calibri Light" w:cs="Arial"/>
          <w:lang w:val="en-CA"/>
        </w:rPr>
      </w:pPr>
    </w:p>
    <w:p w14:paraId="57092897" w14:textId="77777777" w:rsidR="00204224" w:rsidRPr="006416C9" w:rsidRDefault="00204224" w:rsidP="00204224">
      <w:pPr>
        <w:numPr>
          <w:ilvl w:val="0"/>
          <w:numId w:val="2"/>
        </w:numPr>
        <w:spacing w:line="276" w:lineRule="auto"/>
        <w:ind w:left="-567" w:right="-716"/>
        <w:contextualSpacing/>
        <w:rPr>
          <w:rFonts w:ascii="Calibri Light" w:hAnsi="Calibri Light" w:cs="Arial"/>
        </w:rPr>
      </w:pPr>
      <w:r w:rsidRPr="006416C9">
        <w:rPr>
          <w:rFonts w:ascii="Calibri Light" w:hAnsi="Calibri Light" w:cs="Arial"/>
          <w:b/>
        </w:rPr>
        <w:t>Replace the sections of CASL dealing with the installation of computer programs so that CASL regulates only malicious software</w:t>
      </w:r>
      <w:r w:rsidRPr="006416C9">
        <w:rPr>
          <w:rFonts w:ascii="Calibri Light" w:hAnsi="Calibri Light" w:cs="Arial"/>
        </w:rPr>
        <w:t>.  Define “malicious software” to mean: “</w:t>
      </w:r>
      <w:r w:rsidRPr="006416C9">
        <w:rPr>
          <w:rFonts w:ascii="Calibri Light" w:hAnsi="Calibri Light" w:cs="Arial"/>
          <w:i/>
          <w:iCs/>
        </w:rPr>
        <w:t xml:space="preserve">a computer program designed to: </w:t>
      </w:r>
      <w:r w:rsidRPr="006416C9">
        <w:rPr>
          <w:rFonts w:ascii="Calibri Light" w:hAnsi="Calibri Light" w:cs="Arial"/>
          <w:i/>
          <w:iCs/>
        </w:rPr>
        <w:br/>
        <w:t>(</w:t>
      </w:r>
      <w:proofErr w:type="spellStart"/>
      <w:r w:rsidRPr="006416C9">
        <w:rPr>
          <w:rFonts w:ascii="Calibri Light" w:hAnsi="Calibri Light" w:cs="Arial"/>
          <w:i/>
          <w:iCs/>
        </w:rPr>
        <w:t>i</w:t>
      </w:r>
      <w:proofErr w:type="spellEnd"/>
      <w:r w:rsidRPr="006416C9">
        <w:rPr>
          <w:rFonts w:ascii="Calibri Light" w:hAnsi="Calibri Light" w:cs="Arial"/>
          <w:i/>
          <w:iCs/>
        </w:rPr>
        <w:t xml:space="preserve">) disrupt or deny operation of a computer system or other computer program; </w:t>
      </w:r>
      <w:r w:rsidRPr="006416C9">
        <w:rPr>
          <w:rFonts w:ascii="Calibri Light" w:hAnsi="Calibri Light" w:cs="Arial"/>
          <w:i/>
          <w:iCs/>
        </w:rPr>
        <w:br/>
        <w:t xml:space="preserve">(ii) disrupt or deny access to or use of the resources of a computer system; or </w:t>
      </w:r>
      <w:r w:rsidRPr="006416C9">
        <w:rPr>
          <w:rFonts w:ascii="Calibri Light" w:hAnsi="Calibri Light" w:cs="Arial"/>
          <w:i/>
          <w:iCs/>
        </w:rPr>
        <w:br/>
        <w:t xml:space="preserve">(iii) collect personal, financial or proprietary information stored on the computer system; </w:t>
      </w:r>
      <w:r w:rsidRPr="006416C9">
        <w:rPr>
          <w:rFonts w:ascii="Calibri Light" w:hAnsi="Calibri Light" w:cs="Arial"/>
          <w:i/>
          <w:iCs/>
        </w:rPr>
        <w:br/>
        <w:t>that, in each case, is installed without authorization</w:t>
      </w:r>
      <w:r w:rsidRPr="006416C9">
        <w:rPr>
          <w:rFonts w:ascii="Calibri Light" w:hAnsi="Calibri Light" w:cs="Arial"/>
        </w:rPr>
        <w:t xml:space="preserve">.”  </w:t>
      </w:r>
    </w:p>
    <w:p w14:paraId="15670F36" w14:textId="77777777" w:rsidR="00204224" w:rsidRDefault="00204224" w:rsidP="00204224">
      <w:pPr>
        <w:pStyle w:val="ListParagraph"/>
        <w:ind w:left="-567" w:right="-716"/>
        <w:rPr>
          <w:rFonts w:ascii="Calibri Light" w:hAnsi="Calibri Light"/>
        </w:rPr>
      </w:pPr>
      <w:r w:rsidRPr="006416C9">
        <w:rPr>
          <w:rFonts w:ascii="Calibri Light" w:hAnsi="Calibri Light"/>
        </w:rPr>
        <w:t>Define “without authorization” to mean “</w:t>
      </w:r>
      <w:r w:rsidRPr="006416C9">
        <w:rPr>
          <w:rFonts w:ascii="Calibri Light" w:hAnsi="Calibri Light"/>
          <w:i/>
          <w:iCs/>
        </w:rPr>
        <w:t>without authorization of the owner or an authorized user of the computer system, including where authorization is obtained with an intent to deceive or defraud or where a computer system is accessed in contravention of an Act of Parliament</w:t>
      </w:r>
      <w:r w:rsidRPr="006416C9">
        <w:rPr>
          <w:rFonts w:ascii="Calibri Light" w:hAnsi="Calibri Light"/>
        </w:rPr>
        <w:t>.” </w:t>
      </w:r>
    </w:p>
    <w:p w14:paraId="2DBF42BD" w14:textId="77777777" w:rsidR="00204224" w:rsidRPr="00A31F9C" w:rsidRDefault="00204224" w:rsidP="00204224">
      <w:pPr>
        <w:ind w:left="-567" w:right="-716"/>
        <w:rPr>
          <w:rFonts w:ascii="Calibri Light" w:hAnsi="Calibri Light" w:cs="Arial"/>
        </w:rPr>
      </w:pPr>
    </w:p>
    <w:p w14:paraId="1D702860" w14:textId="77777777" w:rsidR="00204224" w:rsidRPr="00A31F9C" w:rsidRDefault="00204224" w:rsidP="00204224">
      <w:pPr>
        <w:numPr>
          <w:ilvl w:val="0"/>
          <w:numId w:val="2"/>
        </w:numPr>
        <w:spacing w:line="276" w:lineRule="auto"/>
        <w:ind w:left="-567" w:right="-716"/>
        <w:contextualSpacing/>
        <w:rPr>
          <w:rFonts w:ascii="Calibri Light" w:hAnsi="Calibri Light" w:cs="Arial"/>
          <w:lang w:val="en-CA"/>
        </w:rPr>
      </w:pPr>
      <w:r w:rsidRPr="006416C9">
        <w:rPr>
          <w:rFonts w:ascii="Calibri Light" w:hAnsi="Calibri Light" w:cs="Arial"/>
          <w:b/>
        </w:rPr>
        <w:t>Amend section 6(2)(a) of CASL to read</w:t>
      </w:r>
      <w:r w:rsidRPr="006416C9">
        <w:rPr>
          <w:rFonts w:ascii="Calibri Light" w:hAnsi="Calibri Light" w:cs="Arial"/>
        </w:rPr>
        <w:t>: “</w:t>
      </w:r>
      <w:r w:rsidRPr="006416C9">
        <w:rPr>
          <w:rFonts w:ascii="Calibri Light" w:hAnsi="Calibri Light" w:cs="Arial"/>
          <w:i/>
          <w:iCs/>
        </w:rPr>
        <w:t>identify the person who sent the message or the person – if different – who authorized the sending of the message</w:t>
      </w:r>
      <w:r w:rsidRPr="006416C9">
        <w:rPr>
          <w:rFonts w:ascii="Calibri Light" w:hAnsi="Calibri Light" w:cs="Arial"/>
        </w:rPr>
        <w:t xml:space="preserve">”.  This wording, which draws on the approach in </w:t>
      </w:r>
      <w:r w:rsidRPr="006416C9">
        <w:rPr>
          <w:rFonts w:ascii="Calibri Light" w:hAnsi="Calibri Light" w:cs="Arial"/>
        </w:rPr>
        <w:lastRenderedPageBreak/>
        <w:t>Australia’s anti-spam law, will remove unnecessary complexity and cost associated with the “</w:t>
      </w:r>
      <w:r w:rsidRPr="006416C9">
        <w:rPr>
          <w:rFonts w:ascii="Calibri Light" w:hAnsi="Calibri Light" w:cs="Arial"/>
          <w:i/>
          <w:iCs/>
        </w:rPr>
        <w:t>on behalf of</w:t>
      </w:r>
      <w:r w:rsidRPr="006416C9">
        <w:rPr>
          <w:rFonts w:ascii="Calibri Light" w:hAnsi="Calibri Light" w:cs="Arial"/>
        </w:rPr>
        <w:t>” wording in CASL.</w:t>
      </w:r>
    </w:p>
    <w:p w14:paraId="72C9AAF0" w14:textId="77777777" w:rsidR="00204224" w:rsidRPr="006416C9" w:rsidRDefault="00204224" w:rsidP="00204224">
      <w:pPr>
        <w:spacing w:line="276" w:lineRule="auto"/>
        <w:ind w:left="-567" w:right="-716"/>
        <w:contextualSpacing/>
        <w:rPr>
          <w:rFonts w:ascii="Calibri Light" w:hAnsi="Calibri Light" w:cs="Arial"/>
          <w:lang w:val="en-CA"/>
        </w:rPr>
      </w:pPr>
    </w:p>
    <w:p w14:paraId="3DAF9EA4" w14:textId="77777777" w:rsidR="00204224" w:rsidRDefault="00204224" w:rsidP="00204224">
      <w:pPr>
        <w:numPr>
          <w:ilvl w:val="0"/>
          <w:numId w:val="2"/>
        </w:numPr>
        <w:spacing w:line="276" w:lineRule="auto"/>
        <w:ind w:left="-567" w:right="-716"/>
        <w:contextualSpacing/>
        <w:rPr>
          <w:rFonts w:ascii="Calibri Light" w:hAnsi="Calibri Light" w:cs="Arial"/>
        </w:rPr>
      </w:pPr>
      <w:r w:rsidRPr="006416C9">
        <w:rPr>
          <w:rFonts w:ascii="Calibri Light" w:hAnsi="Calibri Light" w:cs="Arial"/>
          <w:b/>
        </w:rPr>
        <w:t>Replace all references in CASL to “</w:t>
      </w:r>
      <w:r w:rsidRPr="006416C9">
        <w:rPr>
          <w:rFonts w:ascii="Calibri Light" w:hAnsi="Calibri Light" w:cs="Arial"/>
          <w:b/>
          <w:i/>
          <w:iCs/>
        </w:rPr>
        <w:t>on whose behalf the commercial electronic message is sent</w:t>
      </w:r>
      <w:r w:rsidRPr="006416C9">
        <w:rPr>
          <w:rFonts w:ascii="Calibri Light" w:hAnsi="Calibri Light" w:cs="Arial"/>
          <w:b/>
        </w:rPr>
        <w:t xml:space="preserve">” </w:t>
      </w:r>
      <w:r w:rsidRPr="006416C9">
        <w:rPr>
          <w:rFonts w:ascii="Calibri Light" w:hAnsi="Calibri Light" w:cs="Arial"/>
        </w:rPr>
        <w:t>with “</w:t>
      </w:r>
      <w:r w:rsidRPr="006416C9">
        <w:rPr>
          <w:rFonts w:ascii="Calibri Light" w:hAnsi="Calibri Light" w:cs="Arial"/>
          <w:i/>
          <w:iCs/>
        </w:rPr>
        <w:t>who authorized the sending of the message</w:t>
      </w:r>
      <w:r w:rsidRPr="006416C9">
        <w:rPr>
          <w:rFonts w:ascii="Calibri Light" w:hAnsi="Calibri Light" w:cs="Arial"/>
        </w:rPr>
        <w:t>.” This wording, which draws on the approach in Australia’s anti-spam law, will remove unnecessary complexity and cost associated with the “</w:t>
      </w:r>
      <w:r w:rsidRPr="006416C9">
        <w:rPr>
          <w:rFonts w:ascii="Calibri Light" w:hAnsi="Calibri Light" w:cs="Arial"/>
          <w:i/>
          <w:iCs/>
        </w:rPr>
        <w:t>on behalf of</w:t>
      </w:r>
      <w:r w:rsidRPr="006416C9">
        <w:rPr>
          <w:rFonts w:ascii="Calibri Light" w:hAnsi="Calibri Light" w:cs="Arial"/>
        </w:rPr>
        <w:t xml:space="preserve">” wording in CASL. </w:t>
      </w:r>
    </w:p>
    <w:p w14:paraId="1565D152" w14:textId="77777777" w:rsidR="00204224" w:rsidRPr="006416C9" w:rsidRDefault="00204224" w:rsidP="00204224">
      <w:pPr>
        <w:spacing w:line="276" w:lineRule="auto"/>
        <w:ind w:left="-567" w:right="-716"/>
        <w:contextualSpacing/>
        <w:rPr>
          <w:rFonts w:ascii="Calibri Light" w:hAnsi="Calibri Light" w:cs="Arial"/>
        </w:rPr>
      </w:pPr>
    </w:p>
    <w:p w14:paraId="7E1C0529" w14:textId="77777777" w:rsidR="00204224" w:rsidRDefault="00204224" w:rsidP="00204224">
      <w:pPr>
        <w:numPr>
          <w:ilvl w:val="0"/>
          <w:numId w:val="2"/>
        </w:numPr>
        <w:spacing w:line="276" w:lineRule="auto"/>
        <w:ind w:left="-567" w:right="-716"/>
        <w:contextualSpacing/>
        <w:rPr>
          <w:rFonts w:ascii="Calibri Light" w:hAnsi="Calibri Light" w:cs="Arial"/>
        </w:rPr>
      </w:pPr>
      <w:r w:rsidRPr="006416C9">
        <w:rPr>
          <w:rFonts w:ascii="Calibri Light" w:hAnsi="Calibri Light" w:cs="Arial"/>
          <w:b/>
        </w:rPr>
        <w:t>Amend section 10(1)(b) of CASL to read:</w:t>
      </w:r>
      <w:r w:rsidRPr="006416C9">
        <w:rPr>
          <w:rFonts w:ascii="Calibri Light" w:hAnsi="Calibri Light" w:cs="Arial"/>
        </w:rPr>
        <w:t xml:space="preserve"> “</w:t>
      </w:r>
      <w:r w:rsidRPr="006416C9">
        <w:rPr>
          <w:rFonts w:ascii="Calibri Light" w:hAnsi="Calibri Light" w:cs="Arial"/>
          <w:i/>
          <w:iCs/>
        </w:rPr>
        <w:t>information that clearly and accurately (</w:t>
      </w:r>
      <w:proofErr w:type="spellStart"/>
      <w:r w:rsidRPr="006416C9">
        <w:rPr>
          <w:rFonts w:ascii="Calibri Light" w:hAnsi="Calibri Light" w:cs="Arial"/>
          <w:i/>
          <w:iCs/>
        </w:rPr>
        <w:t>i</w:t>
      </w:r>
      <w:proofErr w:type="spellEnd"/>
      <w:r w:rsidRPr="006416C9">
        <w:rPr>
          <w:rFonts w:ascii="Calibri Light" w:hAnsi="Calibri Light" w:cs="Arial"/>
          <w:i/>
          <w:iCs/>
        </w:rPr>
        <w:t>) identifies the person seeking consent or, if the person is seeking consent on behalf of another person, that other person, and (ii) information about how the person seeking consent or, if the person is seeking consent on behalf of another person, that other person, can be readily contacted</w:t>
      </w:r>
      <w:r w:rsidRPr="006416C9">
        <w:rPr>
          <w:rFonts w:ascii="Calibri Light" w:hAnsi="Calibri Light" w:cs="Arial"/>
        </w:rPr>
        <w:t>.”  This revision will have the effect of replacing prescriptive rules with a general principle that allows for more flexibility, without undermining the objective of the provision.</w:t>
      </w:r>
    </w:p>
    <w:p w14:paraId="13FEF5F3" w14:textId="77777777" w:rsidR="00204224" w:rsidRPr="006416C9" w:rsidRDefault="00204224" w:rsidP="00204224">
      <w:pPr>
        <w:spacing w:line="276" w:lineRule="auto"/>
        <w:ind w:left="-567" w:right="-716"/>
        <w:contextualSpacing/>
        <w:rPr>
          <w:rFonts w:ascii="Calibri Light" w:hAnsi="Calibri Light" w:cs="Arial"/>
        </w:rPr>
      </w:pPr>
    </w:p>
    <w:p w14:paraId="372E2F17" w14:textId="77777777" w:rsidR="00204224" w:rsidRDefault="00204224" w:rsidP="00204224">
      <w:pPr>
        <w:numPr>
          <w:ilvl w:val="0"/>
          <w:numId w:val="2"/>
        </w:numPr>
        <w:spacing w:line="276" w:lineRule="auto"/>
        <w:ind w:left="-567" w:right="-716"/>
        <w:contextualSpacing/>
        <w:rPr>
          <w:rFonts w:ascii="Calibri Light" w:hAnsi="Calibri Light" w:cs="Arial"/>
        </w:rPr>
      </w:pPr>
      <w:r w:rsidRPr="006416C9">
        <w:rPr>
          <w:rFonts w:ascii="Calibri Light" w:hAnsi="Calibri Light" w:cs="Arial"/>
          <w:b/>
        </w:rPr>
        <w:t>Amend section 47 to restrict standing to sue under the private right of</w:t>
      </w:r>
      <w:r w:rsidRPr="006416C9">
        <w:rPr>
          <w:rFonts w:ascii="Calibri Light" w:hAnsi="Calibri Light" w:cs="Arial"/>
        </w:rPr>
        <w:t xml:space="preserve"> </w:t>
      </w:r>
      <w:r w:rsidRPr="006416C9">
        <w:rPr>
          <w:rFonts w:ascii="Calibri Light" w:hAnsi="Calibri Light" w:cs="Arial"/>
          <w:b/>
        </w:rPr>
        <w:t xml:space="preserve">action to those businesses </w:t>
      </w:r>
      <w:r>
        <w:rPr>
          <w:rFonts w:ascii="Calibri Light" w:hAnsi="Calibri Light" w:cs="Arial"/>
          <w:b/>
        </w:rPr>
        <w:t>that</w:t>
      </w:r>
      <w:r w:rsidRPr="006416C9">
        <w:rPr>
          <w:rFonts w:ascii="Calibri Light" w:hAnsi="Calibri Light" w:cs="Arial"/>
          <w:b/>
        </w:rPr>
        <w:t xml:space="preserve"> are directly impacted </w:t>
      </w:r>
      <w:r w:rsidRPr="005D478C">
        <w:rPr>
          <w:rFonts w:ascii="Calibri Light" w:hAnsi="Calibri Light" w:cs="Arial"/>
          <w:b/>
        </w:rPr>
        <w:t>by spam, spyware and other online threats</w:t>
      </w:r>
      <w:r w:rsidRPr="006416C9">
        <w:rPr>
          <w:rFonts w:ascii="Calibri Light" w:hAnsi="Calibri Light" w:cs="Arial"/>
        </w:rPr>
        <w:t xml:space="preserve"> (i.e., telecommunications companies, online companies and internet service providers).  Doing so will (as is the case in the United States) enable those businesses who are best positioned to do so, to pursue bad actors in the courts, while addressing the material risk created by the current wording of section 47, that the PRA will result in costly, unwarranted class actions against legitimate companies. </w:t>
      </w:r>
    </w:p>
    <w:p w14:paraId="01D14799" w14:textId="77777777" w:rsidR="00204224" w:rsidRPr="006416C9" w:rsidRDefault="00204224" w:rsidP="00204224">
      <w:pPr>
        <w:spacing w:line="276" w:lineRule="auto"/>
        <w:ind w:left="-567" w:right="-716"/>
        <w:contextualSpacing/>
        <w:rPr>
          <w:rFonts w:ascii="Calibri Light" w:hAnsi="Calibri Light" w:cs="Arial"/>
        </w:rPr>
      </w:pPr>
    </w:p>
    <w:p w14:paraId="54B45B93" w14:textId="77777777" w:rsidR="00204224" w:rsidRDefault="00204224" w:rsidP="00204224">
      <w:pPr>
        <w:numPr>
          <w:ilvl w:val="0"/>
          <w:numId w:val="2"/>
        </w:numPr>
        <w:spacing w:line="276" w:lineRule="auto"/>
        <w:ind w:left="-567" w:right="-716"/>
        <w:contextualSpacing/>
        <w:rPr>
          <w:rFonts w:ascii="Calibri Light" w:hAnsi="Calibri Light" w:cs="Arial"/>
        </w:rPr>
      </w:pPr>
      <w:r w:rsidRPr="006416C9">
        <w:rPr>
          <w:rFonts w:ascii="Calibri Light" w:hAnsi="Calibri Light" w:cs="Arial"/>
          <w:b/>
        </w:rPr>
        <w:t>Authorize the CRTC to share information</w:t>
      </w:r>
      <w:r w:rsidRPr="006416C9">
        <w:rPr>
          <w:rFonts w:ascii="Calibri Light" w:hAnsi="Calibri Light" w:cs="Arial"/>
        </w:rPr>
        <w:t xml:space="preserve"> and complaints about spam and malicious software with telecommunications companies, online companies and internet service providers.  Doing so will enable industry to collaborate with the CRTC </w:t>
      </w:r>
      <w:proofErr w:type="gramStart"/>
      <w:r w:rsidRPr="006416C9">
        <w:rPr>
          <w:rFonts w:ascii="Calibri Light" w:hAnsi="Calibri Light" w:cs="Arial"/>
        </w:rPr>
        <w:t>in an effort to</w:t>
      </w:r>
      <w:proofErr w:type="gramEnd"/>
      <w:r w:rsidRPr="006416C9">
        <w:rPr>
          <w:rFonts w:ascii="Calibri Light" w:hAnsi="Calibri Light" w:cs="Arial"/>
        </w:rPr>
        <w:t xml:space="preserve"> enforce CASL. </w:t>
      </w:r>
    </w:p>
    <w:p w14:paraId="2629E994" w14:textId="77777777" w:rsidR="00204224" w:rsidRPr="006416C9" w:rsidRDefault="00204224" w:rsidP="00204224">
      <w:pPr>
        <w:spacing w:line="276" w:lineRule="auto"/>
        <w:ind w:left="-567" w:right="-716"/>
        <w:contextualSpacing/>
        <w:rPr>
          <w:rFonts w:ascii="Calibri Light" w:hAnsi="Calibri Light" w:cs="Arial"/>
        </w:rPr>
      </w:pPr>
    </w:p>
    <w:p w14:paraId="30F28EB6" w14:textId="77777777" w:rsidR="00204224" w:rsidRDefault="00204224" w:rsidP="00204224">
      <w:pPr>
        <w:numPr>
          <w:ilvl w:val="0"/>
          <w:numId w:val="2"/>
        </w:numPr>
        <w:pBdr>
          <w:bottom w:val="single" w:sz="12" w:space="1" w:color="auto"/>
        </w:pBdr>
        <w:spacing w:line="276" w:lineRule="auto"/>
        <w:ind w:left="-567" w:right="-716"/>
        <w:contextualSpacing/>
        <w:rPr>
          <w:rFonts w:ascii="Calibri Light" w:hAnsi="Calibri Light" w:cs="Arial"/>
        </w:rPr>
      </w:pPr>
      <w:r w:rsidRPr="006416C9">
        <w:rPr>
          <w:rFonts w:ascii="Calibri Light" w:hAnsi="Calibri Light" w:cs="Arial"/>
          <w:b/>
        </w:rPr>
        <w:t>Revise section 64 of CASL so that the Governor in Council has sole regulation making authority</w:t>
      </w:r>
      <w:r w:rsidRPr="006416C9">
        <w:rPr>
          <w:rFonts w:ascii="Calibri Light" w:hAnsi="Calibri Light" w:cs="Arial"/>
        </w:rPr>
        <w:t xml:space="preserve"> (rather than this authority being split with the CRTC).  The Governor in Council can then replace the CRTC regulations with regulations that do not add prescriptive rules to CASL.</w:t>
      </w:r>
      <w:r>
        <w:rPr>
          <w:rFonts w:ascii="Calibri Light" w:hAnsi="Calibri Light" w:cs="Arial"/>
        </w:rPr>
        <w:t xml:space="preserve">                                                                                       </w:t>
      </w:r>
    </w:p>
    <w:p w14:paraId="64599B94" w14:textId="77777777" w:rsidR="00204224" w:rsidRDefault="00204224" w:rsidP="00204224">
      <w:pPr>
        <w:spacing w:line="276" w:lineRule="auto"/>
        <w:ind w:left="-567" w:right="-716"/>
        <w:contextualSpacing/>
        <w:rPr>
          <w:rFonts w:ascii="Calibri Light" w:hAnsi="Calibri Light" w:cs="Arial"/>
        </w:rPr>
      </w:pPr>
    </w:p>
    <w:p w14:paraId="5CB27732" w14:textId="77777777" w:rsidR="00204224" w:rsidRPr="006416C9" w:rsidRDefault="00204224" w:rsidP="00204224">
      <w:pPr>
        <w:spacing w:line="276" w:lineRule="auto"/>
        <w:ind w:left="-567" w:right="-716"/>
        <w:contextualSpacing/>
        <w:rPr>
          <w:rFonts w:ascii="Calibri Light" w:hAnsi="Calibri Light" w:cs="Calibri"/>
        </w:rPr>
      </w:pPr>
      <w:r>
        <w:rPr>
          <w:rFonts w:ascii="Calibri Light" w:hAnsi="Calibri Light" w:cs="Arial"/>
        </w:rPr>
        <w:t xml:space="preserve">ITAC would be happy to discuss or answer questions about these proposed amendments with the Committee at your nearest convenience. For further information please contact David Messer at </w:t>
      </w:r>
      <w:hyperlink r:id="rId8" w:history="1">
        <w:r w:rsidRPr="002E4CAC">
          <w:rPr>
            <w:rStyle w:val="Hyperlink"/>
            <w:rFonts w:ascii="Calibri Light" w:hAnsi="Calibri Light" w:cs="Arial"/>
          </w:rPr>
          <w:t>dmesser@itac.ca</w:t>
        </w:r>
      </w:hyperlink>
    </w:p>
    <w:p w14:paraId="4593B1B9" w14:textId="77777777" w:rsidR="00204224" w:rsidRPr="006416C9" w:rsidRDefault="00204224" w:rsidP="00204224">
      <w:pPr>
        <w:ind w:right="-716"/>
        <w:rPr>
          <w:rFonts w:ascii="Calibri Light" w:hAnsi="Calibri Light"/>
        </w:rPr>
      </w:pPr>
      <w:r w:rsidRPr="006416C9">
        <w:rPr>
          <w:rFonts w:ascii="Calibri Light" w:hAnsi="Calibri Light"/>
        </w:rPr>
        <w:t> </w:t>
      </w:r>
    </w:p>
    <w:p w14:paraId="69A35271" w14:textId="77777777" w:rsidR="00305605" w:rsidRDefault="00305605" w:rsidP="00204224">
      <w:pPr>
        <w:ind w:right="-716"/>
      </w:pPr>
    </w:p>
    <w:sectPr w:rsidR="00305605" w:rsidSect="00B634C1">
      <w:footerReference w:type="default" r:id="rId9"/>
      <w:headerReference w:type="first" r:id="rId10"/>
      <w:pgSz w:w="12240" w:h="15840"/>
      <w:pgMar w:top="1440" w:right="1800" w:bottom="180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05B36" w14:textId="77777777" w:rsidR="001B2669" w:rsidRDefault="001B2669" w:rsidP="00E160BF">
      <w:r>
        <w:separator/>
      </w:r>
    </w:p>
  </w:endnote>
  <w:endnote w:type="continuationSeparator" w:id="0">
    <w:p w14:paraId="064F80A6" w14:textId="77777777" w:rsidR="001B2669" w:rsidRDefault="001B2669" w:rsidP="00E1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1D98" w14:textId="7E14341F" w:rsidR="00BB616B" w:rsidRDefault="00BB616B">
    <w:pPr>
      <w:pStyle w:val="Footer"/>
    </w:pPr>
    <w:r>
      <w:rPr>
        <w:noProof/>
      </w:rPr>
      <w:drawing>
        <wp:anchor distT="0" distB="0" distL="114300" distR="114300" simplePos="0" relativeHeight="251659264" behindDoc="1" locked="0" layoutInCell="1" allowOverlap="1" wp14:anchorId="2440ADFF" wp14:editId="6133BFD8">
          <wp:simplePos x="0" y="0"/>
          <wp:positionH relativeFrom="column">
            <wp:posOffset>-1155700</wp:posOffset>
          </wp:positionH>
          <wp:positionV relativeFrom="paragraph">
            <wp:posOffset>-293370</wp:posOffset>
          </wp:positionV>
          <wp:extent cx="7801501" cy="9173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C-letterhead-Toronto-Ottawa-p2-footer.jpg"/>
                  <pic:cNvPicPr/>
                </pic:nvPicPr>
                <pic:blipFill>
                  <a:blip r:embed="rId1">
                    <a:extLst>
                      <a:ext uri="{28A0092B-C50C-407E-A947-70E740481C1C}">
                        <a14:useLocalDpi xmlns:a14="http://schemas.microsoft.com/office/drawing/2010/main" val="0"/>
                      </a:ext>
                    </a:extLst>
                  </a:blip>
                  <a:stretch>
                    <a:fillRect/>
                  </a:stretch>
                </pic:blipFill>
                <pic:spPr>
                  <a:xfrm>
                    <a:off x="0" y="0"/>
                    <a:ext cx="7801501" cy="9173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ED34F" w14:textId="77777777" w:rsidR="001B2669" w:rsidRDefault="001B2669" w:rsidP="00E160BF">
      <w:r>
        <w:separator/>
      </w:r>
    </w:p>
  </w:footnote>
  <w:footnote w:type="continuationSeparator" w:id="0">
    <w:p w14:paraId="550DDEAF" w14:textId="77777777" w:rsidR="001B2669" w:rsidRDefault="001B2669" w:rsidP="00E1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9E74" w14:textId="29DB8BF6" w:rsidR="00BB616B" w:rsidRDefault="00BB616B">
    <w:pPr>
      <w:pStyle w:val="Header"/>
    </w:pPr>
    <w:r>
      <w:rPr>
        <w:noProof/>
      </w:rPr>
      <w:drawing>
        <wp:anchor distT="0" distB="0" distL="114300" distR="114300" simplePos="0" relativeHeight="251658240" behindDoc="1" locked="0" layoutInCell="1" allowOverlap="1" wp14:anchorId="1DFF1355" wp14:editId="1A5276A8">
          <wp:simplePos x="0" y="0"/>
          <wp:positionH relativeFrom="column">
            <wp:posOffset>-1155700</wp:posOffset>
          </wp:positionH>
          <wp:positionV relativeFrom="paragraph">
            <wp:posOffset>-457200</wp:posOffset>
          </wp:positionV>
          <wp:extent cx="7779392" cy="10067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C-letterhead-Toronto-Ottawa-pick.jpg"/>
                  <pic:cNvPicPr/>
                </pic:nvPicPr>
                <pic:blipFill>
                  <a:blip r:embed="rId1">
                    <a:extLst>
                      <a:ext uri="{28A0092B-C50C-407E-A947-70E740481C1C}">
                        <a14:useLocalDpi xmlns:a14="http://schemas.microsoft.com/office/drawing/2010/main" val="0"/>
                      </a:ext>
                    </a:extLst>
                  </a:blip>
                  <a:stretch>
                    <a:fillRect/>
                  </a:stretch>
                </pic:blipFill>
                <pic:spPr>
                  <a:xfrm>
                    <a:off x="0" y="0"/>
                    <a:ext cx="7779704" cy="100676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100A3"/>
    <w:multiLevelType w:val="hybridMultilevel"/>
    <w:tmpl w:val="84EEF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19F374D"/>
    <w:multiLevelType w:val="hybridMultilevel"/>
    <w:tmpl w:val="2828DE3C"/>
    <w:lvl w:ilvl="0" w:tplc="1CA08014">
      <w:start w:val="1"/>
      <w:numFmt w:val="decimal"/>
      <w:pStyle w:val="RESONumbering"/>
      <w:lvlText w:val="%1."/>
      <w:lvlJc w:val="left"/>
      <w:pPr>
        <w:tabs>
          <w:tab w:val="num" w:pos="504"/>
        </w:tabs>
        <w:ind w:left="504" w:hanging="50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BF"/>
    <w:rsid w:val="001B2669"/>
    <w:rsid w:val="00204224"/>
    <w:rsid w:val="00305605"/>
    <w:rsid w:val="003267E1"/>
    <w:rsid w:val="0095756C"/>
    <w:rsid w:val="00B51686"/>
    <w:rsid w:val="00B634C1"/>
    <w:rsid w:val="00B80F22"/>
    <w:rsid w:val="00BB616B"/>
    <w:rsid w:val="00C8456C"/>
    <w:rsid w:val="00D2649C"/>
    <w:rsid w:val="00E160BF"/>
    <w:rsid w:val="00E31159"/>
    <w:rsid w:val="00F6284C"/>
    <w:rsid w:val="00FB511A"/>
    <w:rsid w:val="00F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0AF39"/>
  <w14:defaultImageDpi w14:val="300"/>
  <w15:docId w15:val="{C66AF7B0-355E-4069-A750-CD36B577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BF"/>
    <w:pPr>
      <w:tabs>
        <w:tab w:val="center" w:pos="4320"/>
        <w:tab w:val="right" w:pos="8640"/>
      </w:tabs>
    </w:pPr>
  </w:style>
  <w:style w:type="character" w:customStyle="1" w:styleId="HeaderChar">
    <w:name w:val="Header Char"/>
    <w:basedOn w:val="DefaultParagraphFont"/>
    <w:link w:val="Header"/>
    <w:uiPriority w:val="99"/>
    <w:rsid w:val="00E160BF"/>
  </w:style>
  <w:style w:type="paragraph" w:styleId="Footer">
    <w:name w:val="footer"/>
    <w:basedOn w:val="Normal"/>
    <w:link w:val="FooterChar"/>
    <w:uiPriority w:val="99"/>
    <w:unhideWhenUsed/>
    <w:rsid w:val="00E160BF"/>
    <w:pPr>
      <w:tabs>
        <w:tab w:val="center" w:pos="4320"/>
        <w:tab w:val="right" w:pos="8640"/>
      </w:tabs>
    </w:pPr>
  </w:style>
  <w:style w:type="character" w:customStyle="1" w:styleId="FooterChar">
    <w:name w:val="Footer Char"/>
    <w:basedOn w:val="DefaultParagraphFont"/>
    <w:link w:val="Footer"/>
    <w:uiPriority w:val="99"/>
    <w:rsid w:val="00E160BF"/>
  </w:style>
  <w:style w:type="paragraph" w:styleId="BalloonText">
    <w:name w:val="Balloon Text"/>
    <w:basedOn w:val="Normal"/>
    <w:link w:val="BalloonTextChar"/>
    <w:uiPriority w:val="99"/>
    <w:semiHidden/>
    <w:unhideWhenUsed/>
    <w:rsid w:val="00BB6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16B"/>
    <w:rPr>
      <w:rFonts w:ascii="Lucida Grande" w:hAnsi="Lucida Grande" w:cs="Lucida Grande"/>
      <w:sz w:val="18"/>
      <w:szCs w:val="18"/>
    </w:rPr>
  </w:style>
  <w:style w:type="paragraph" w:styleId="ListParagraph">
    <w:name w:val="List Paragraph"/>
    <w:basedOn w:val="Normal"/>
    <w:uiPriority w:val="34"/>
    <w:qFormat/>
    <w:rsid w:val="00204224"/>
    <w:pPr>
      <w:ind w:left="720"/>
      <w:contextualSpacing/>
    </w:pPr>
  </w:style>
  <w:style w:type="character" w:styleId="Hyperlink">
    <w:name w:val="Hyperlink"/>
    <w:basedOn w:val="DefaultParagraphFont"/>
    <w:uiPriority w:val="99"/>
    <w:unhideWhenUsed/>
    <w:rsid w:val="00204224"/>
    <w:rPr>
      <w:color w:val="0000FF" w:themeColor="hyperlink"/>
      <w:u w:val="single"/>
    </w:rPr>
  </w:style>
  <w:style w:type="paragraph" w:customStyle="1" w:styleId="RESONumbering">
    <w:name w:val="RESO Numbering"/>
    <w:basedOn w:val="Normal"/>
    <w:rsid w:val="00204224"/>
    <w:pPr>
      <w:numPr>
        <w:numId w:val="1"/>
      </w:numPr>
      <w:spacing w:after="140"/>
    </w:pPr>
    <w:rPr>
      <w:rFonts w:ascii="Book Antiqua" w:eastAsiaTheme="minorHAnsi" w:hAnsi="Book Antiqua" w:cs="Calibri"/>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sser@ita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8497-66E4-482D-AE88-CBFF240E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jordan</dc:creator>
  <cp:keywords/>
  <dc:description/>
  <cp:lastModifiedBy>Janet Gibson Eichner</cp:lastModifiedBy>
  <cp:revision>2</cp:revision>
  <cp:lastPrinted>2016-08-11T12:40:00Z</cp:lastPrinted>
  <dcterms:created xsi:type="dcterms:W3CDTF">2018-04-23T18:15:00Z</dcterms:created>
  <dcterms:modified xsi:type="dcterms:W3CDTF">2018-04-23T18:15:00Z</dcterms:modified>
</cp:coreProperties>
</file>