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D8" w:rsidRDefault="006829D8"/>
    <w:p w:rsidR="006829D8" w:rsidRDefault="006829D8">
      <w:r>
        <w:br/>
      </w:r>
    </w:p>
    <w:p w:rsidR="006829D8" w:rsidRPr="00D97775" w:rsidRDefault="006829D8">
      <w:pPr>
        <w:rPr>
          <w:b/>
        </w:rPr>
      </w:pPr>
      <w:r>
        <w:rPr>
          <w:b/>
        </w:rPr>
        <w:t xml:space="preserve">Total ITC Expenditure: </w:t>
      </w:r>
      <w:r w:rsidRPr="006829D8">
        <w:rPr>
          <w:b/>
        </w:rPr>
        <w:t>$2,505,320,861</w:t>
      </w:r>
      <w:r w:rsidR="00D97775">
        <w:rPr>
          <w:b/>
        </w:rPr>
        <w:t xml:space="preserve"> with 64/117 organizations responding</w:t>
      </w:r>
    </w:p>
    <w:p w:rsidR="006829D8" w:rsidRDefault="006829D8"/>
    <w:p w:rsidR="006829D8" w:rsidRPr="00D97775" w:rsidRDefault="00D97775">
      <w:pPr>
        <w:rPr>
          <w:b/>
        </w:rPr>
      </w:pPr>
      <w:r w:rsidRPr="00D97775">
        <w:rPr>
          <w:b/>
        </w:rPr>
        <w:t xml:space="preserve">53 non-responding organizations </w:t>
      </w:r>
    </w:p>
    <w:tbl>
      <w:tblPr>
        <w:tblW w:w="11023" w:type="dxa"/>
        <w:tblCellMar>
          <w:top w:w="57" w:type="dxa"/>
          <w:bottom w:w="57" w:type="dxa"/>
        </w:tblCellMar>
        <w:tblLook w:val="04A0" w:firstRow="1" w:lastRow="0" w:firstColumn="1" w:lastColumn="0" w:noHBand="0" w:noVBand="1"/>
      </w:tblPr>
      <w:tblGrid>
        <w:gridCol w:w="3701"/>
        <w:gridCol w:w="7322"/>
      </w:tblGrid>
      <w:tr w:rsidR="00BC0376" w:rsidRPr="006829D8" w:rsidTr="00BC0376">
        <w:trPr>
          <w:trHeight w:val="20"/>
        </w:trPr>
        <w:tc>
          <w:tcPr>
            <w:tcW w:w="3701"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vAlign w:val="center"/>
          </w:tcPr>
          <w:p w:rsidR="00BC0376" w:rsidRPr="006829D8" w:rsidRDefault="00BC0376" w:rsidP="006829D8">
            <w:pPr>
              <w:spacing w:line="240" w:lineRule="auto"/>
              <w:jc w:val="center"/>
              <w:rPr>
                <w:rFonts w:eastAsia="Times New Roman"/>
                <w:b/>
                <w:bCs/>
                <w:color w:val="000000"/>
                <w:szCs w:val="20"/>
              </w:rPr>
            </w:pPr>
            <w:r>
              <w:rPr>
                <w:rFonts w:eastAsia="Times New Roman"/>
                <w:b/>
                <w:bCs/>
                <w:color w:val="000000"/>
                <w:szCs w:val="20"/>
              </w:rPr>
              <w:t>Government Organization</w:t>
            </w:r>
          </w:p>
        </w:tc>
        <w:tc>
          <w:tcPr>
            <w:tcW w:w="7322" w:type="dxa"/>
            <w:tcBorders>
              <w:top w:val="single" w:sz="4" w:space="0" w:color="95B3D7"/>
              <w:left w:val="nil"/>
              <w:bottom w:val="single" w:sz="4" w:space="0" w:color="95B3D7"/>
              <w:right w:val="single" w:sz="4" w:space="0" w:color="95B3D7"/>
            </w:tcBorders>
            <w:shd w:val="clear" w:color="auto" w:fill="DBE5F1" w:themeFill="accent1" w:themeFillTint="33"/>
            <w:vAlign w:val="center"/>
          </w:tcPr>
          <w:p w:rsidR="00BC0376" w:rsidRPr="006829D8" w:rsidRDefault="00BC0376" w:rsidP="006829D8">
            <w:pPr>
              <w:spacing w:line="240" w:lineRule="auto"/>
              <w:jc w:val="center"/>
              <w:rPr>
                <w:rFonts w:eastAsia="Times New Roman"/>
                <w:b/>
                <w:color w:val="000000"/>
                <w:szCs w:val="20"/>
              </w:rPr>
            </w:pPr>
            <w:r>
              <w:rPr>
                <w:rFonts w:eastAsia="Times New Roman"/>
                <w:b/>
                <w:color w:val="000000"/>
                <w:szCs w:val="20"/>
              </w:rPr>
              <w:t>Reason for Non-response</w:t>
            </w:r>
          </w:p>
        </w:tc>
      </w:tr>
      <w:tr w:rsidR="00BC0376" w:rsidRPr="006829D8" w:rsidTr="00BC0376">
        <w:trPr>
          <w:trHeight w:val="594"/>
        </w:trPr>
        <w:tc>
          <w:tcPr>
            <w:tcW w:w="3701"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Public Service and Procurement Canada</w:t>
            </w:r>
          </w:p>
        </w:tc>
        <w:tc>
          <w:tcPr>
            <w:tcW w:w="7322" w:type="dxa"/>
            <w:tcBorders>
              <w:top w:val="single" w:sz="4" w:space="0" w:color="95B3D7"/>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PSPC is unable to answer the question in the time allocated for response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Shared Services Canada</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SSC is unable to answer the question in the time allocated for response.</w:t>
            </w:r>
          </w:p>
        </w:tc>
      </w:tr>
      <w:tr w:rsidR="00BC0376" w:rsidRPr="006829D8" w:rsidTr="00BC0376">
        <w:trPr>
          <w:trHeight w:val="1200"/>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Canada Lands Company Limited</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CLCL is an arm's length Crown Corporation that operates on a self-sustaining financial basis. CLCL's</w:t>
            </w:r>
            <w:r w:rsidRPr="006829D8">
              <w:rPr>
                <w:rFonts w:eastAsia="Times New Roman"/>
                <w:color w:val="000000"/>
                <w:szCs w:val="20"/>
              </w:rPr>
              <w:br/>
              <w:t>expenses are not paid for by the Government of Canada. The requested information is commercial in nature and is being treated as confidential.</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Canada Post Corporation</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CPC is unable to answer the question in the time allocated for response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 xml:space="preserve">Agriculture and </w:t>
            </w:r>
            <w:proofErr w:type="spellStart"/>
            <w:r w:rsidRPr="006829D8">
              <w:rPr>
                <w:rFonts w:eastAsia="Times New Roman"/>
                <w:b/>
                <w:bCs/>
                <w:color w:val="000000"/>
                <w:szCs w:val="20"/>
              </w:rPr>
              <w:t>Agri</w:t>
            </w:r>
            <w:proofErr w:type="spellEnd"/>
            <w:r w:rsidRPr="006829D8">
              <w:rPr>
                <w:rFonts w:eastAsia="Times New Roman"/>
                <w:b/>
                <w:bCs/>
                <w:color w:val="000000"/>
                <w:szCs w:val="20"/>
              </w:rPr>
              <w:t>-Food Canada (including the Canadian Pari-Mutuel Agency)</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Agriculture and </w:t>
            </w:r>
            <w:proofErr w:type="spellStart"/>
            <w:r w:rsidRPr="006829D8">
              <w:rPr>
                <w:rFonts w:eastAsia="Times New Roman"/>
                <w:color w:val="000000"/>
                <w:szCs w:val="20"/>
              </w:rPr>
              <w:t>Agri</w:t>
            </w:r>
            <w:proofErr w:type="spellEnd"/>
            <w:r w:rsidRPr="006829D8">
              <w:rPr>
                <w:rFonts w:eastAsia="Times New Roman"/>
                <w:color w:val="000000"/>
                <w:szCs w:val="20"/>
              </w:rPr>
              <w:t>-Food Canada (AAFC)</w:t>
            </w:r>
            <w:bookmarkStart w:id="0" w:name="_GoBack"/>
            <w:bookmarkEnd w:id="0"/>
            <w:r w:rsidRPr="006829D8">
              <w:rPr>
                <w:rFonts w:eastAsia="Times New Roman"/>
                <w:color w:val="000000"/>
                <w:szCs w:val="20"/>
              </w:rPr>
              <w:t xml:space="preserve"> undertook an extensive preliminary search in order to determine the amount of information that would fall within the scope of the question and </w:t>
            </w:r>
            <w:proofErr w:type="spellStart"/>
            <w:r w:rsidRPr="006829D8">
              <w:rPr>
                <w:rFonts w:eastAsia="Times New Roman"/>
                <w:color w:val="000000"/>
                <w:szCs w:val="20"/>
              </w:rPr>
              <w:t>tihe</w:t>
            </w:r>
            <w:proofErr w:type="spellEnd"/>
            <w:r w:rsidRPr="006829D8">
              <w:rPr>
                <w:rFonts w:eastAsia="Times New Roman"/>
                <w:color w:val="000000"/>
                <w:szCs w:val="20"/>
              </w:rPr>
              <w:t xml:space="preserve"> amount of time that would be required to prepare a comprehensive response. AAFC concluded that producing and validating a comprehensive response to this question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Grain Commission</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Canadian Grain Commission (CGC) undertook an extensive preliminary search in order to determine the amount of information that would fall within the scope of the question and the amount of time that would be required to prepare a comprehensive response. CGC concluded that producing and validating a comprehensive response to this question would require a manual collection of information that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Farm Products Council of Canada</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Farm Products Council of Canada has not allocated any government funding for the acquisition, deployment, usage and maintenance of all new and existing information and communications technologies (ICT) and all related expenditures incurred for the period of April 1, 2018 to March 31, 2019</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Canada Revenue Agency</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Please note that final information for 2018-2019 is not yet </w:t>
            </w:r>
            <w:proofErr w:type="gramStart"/>
            <w:r w:rsidRPr="006829D8">
              <w:rPr>
                <w:rFonts w:eastAsia="Times New Roman"/>
                <w:color w:val="000000"/>
                <w:szCs w:val="20"/>
              </w:rPr>
              <w:t>available,</w:t>
            </w:r>
            <w:proofErr w:type="gramEnd"/>
            <w:r w:rsidRPr="006829D8">
              <w:rPr>
                <w:rFonts w:eastAsia="Times New Roman"/>
                <w:color w:val="000000"/>
                <w:szCs w:val="20"/>
              </w:rPr>
              <w:t xml:space="preserve"> therefore the CRA has a nil</w:t>
            </w:r>
            <w:r w:rsidRPr="006829D8">
              <w:rPr>
                <w:rFonts w:eastAsia="Times New Roman"/>
                <w:color w:val="000000"/>
                <w:szCs w:val="20"/>
              </w:rPr>
              <w:br/>
              <w:t>response.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Heritage</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information requested is not readily available in the Department of Canadian Heritage's tracking systems. An extensive manual research would be necessary to provide the requested information. This</w:t>
            </w:r>
            <w:r w:rsidRPr="006829D8">
              <w:rPr>
                <w:rFonts w:eastAsia="Times New Roman"/>
                <w:color w:val="000000"/>
                <w:szCs w:val="20"/>
              </w:rPr>
              <w:br/>
              <w:t>operation cannot be completed within the allotted timeframe.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Library and Archives Canada</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The information requested is not readily available in these organization's tracking systems. An extensive manual research would be necessary to provide the requested </w:t>
            </w:r>
            <w:proofErr w:type="spellStart"/>
            <w:r w:rsidRPr="006829D8">
              <w:rPr>
                <w:rFonts w:eastAsia="Times New Roman"/>
                <w:color w:val="000000"/>
                <w:szCs w:val="20"/>
              </w:rPr>
              <w:t>infonnation</w:t>
            </w:r>
            <w:proofErr w:type="spellEnd"/>
            <w:r w:rsidRPr="006829D8">
              <w:rPr>
                <w:rFonts w:eastAsia="Times New Roman"/>
                <w:color w:val="000000"/>
                <w:szCs w:val="20"/>
              </w:rPr>
              <w:t>. This operation cannot be completed within the allotted timeframe.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National Film Board of Canada</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The information requested is not readily available in these organization's tracking systems. An extensive manual research would be necessary to provide the requested </w:t>
            </w:r>
            <w:proofErr w:type="spellStart"/>
            <w:r w:rsidRPr="006829D8">
              <w:rPr>
                <w:rFonts w:eastAsia="Times New Roman"/>
                <w:color w:val="000000"/>
                <w:szCs w:val="20"/>
              </w:rPr>
              <w:t>infonnation</w:t>
            </w:r>
            <w:proofErr w:type="spellEnd"/>
            <w:r w:rsidRPr="006829D8">
              <w:rPr>
                <w:rFonts w:eastAsia="Times New Roman"/>
                <w:color w:val="000000"/>
                <w:szCs w:val="20"/>
              </w:rPr>
              <w:t>. This operation cannot be completed within the allotted timeframe.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Museum for Human</w:t>
            </w:r>
            <w:r w:rsidRPr="006829D8">
              <w:rPr>
                <w:rFonts w:eastAsia="Times New Roman"/>
                <w:b/>
                <w:bCs/>
                <w:color w:val="000000"/>
                <w:szCs w:val="20"/>
              </w:rPr>
              <w:br/>
              <w:t>Rights</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The information requested is not readily available in these organization's tracking systems. An extensive manual research would be necessary to provide the requested </w:t>
            </w:r>
            <w:proofErr w:type="spellStart"/>
            <w:r w:rsidRPr="006829D8">
              <w:rPr>
                <w:rFonts w:eastAsia="Times New Roman"/>
                <w:color w:val="000000"/>
                <w:szCs w:val="20"/>
              </w:rPr>
              <w:t>infonnation</w:t>
            </w:r>
            <w:proofErr w:type="spellEnd"/>
            <w:r w:rsidRPr="006829D8">
              <w:rPr>
                <w:rFonts w:eastAsia="Times New Roman"/>
                <w:color w:val="000000"/>
                <w:szCs w:val="20"/>
              </w:rPr>
              <w:t>. This operation cannot be completed within the allotted timeframe.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National Arts Centre</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The information requested is not readily available in these organization's tracking systems. An extensive manual research would be necessary to provide the requested </w:t>
            </w:r>
            <w:proofErr w:type="spellStart"/>
            <w:r w:rsidRPr="006829D8">
              <w:rPr>
                <w:rFonts w:eastAsia="Times New Roman"/>
                <w:color w:val="000000"/>
                <w:szCs w:val="20"/>
              </w:rPr>
              <w:t>infonnation</w:t>
            </w:r>
            <w:proofErr w:type="spellEnd"/>
            <w:r w:rsidRPr="006829D8">
              <w:rPr>
                <w:rFonts w:eastAsia="Times New Roman"/>
                <w:color w:val="000000"/>
                <w:szCs w:val="20"/>
              </w:rPr>
              <w:t>. This operation cannot be completed within the allotted timeframe.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Conservation Institute</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Information as it may relate to the work of these special operating agencies is reported under the response from the Department of Canadian Heritage.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Heritage Information Network</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Information as it may relate to the work of these special operating agencies is reported under the response from the Department of Canadian Heritage.</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Office of the Superintendent of Financial Institutions (OSFI)</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Office of the Superintendent of Financial Institutions (OSFI) undertook an extensive preliminary search in order to determine the amount of information that would fall within the scope of the question and the amount of time that would be required to prepare a comprehensive response. OSFI concluded that producing and validating a comprehensive response to this question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Bank of Canada</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Bank of Canada undertook an extensive preliminary search in order to determine the amount of information that would fall within the scope of the question and the amount of time that would be required to prepare a comprehensive response. The Bank concluded that producing and validating a comprehensive response to this question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Canada Deposit Insurance Corporation (</w:t>
            </w:r>
            <w:proofErr w:type="spellStart"/>
            <w:r w:rsidRPr="006829D8">
              <w:rPr>
                <w:rFonts w:eastAsia="Times New Roman"/>
                <w:b/>
                <w:bCs/>
                <w:color w:val="000000"/>
                <w:szCs w:val="20"/>
              </w:rPr>
              <w:t>CDICl</w:t>
            </w:r>
            <w:proofErr w:type="spellEnd"/>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Canada Deposit Insurance Corporation (CDIC) undertook an extensive preliminary discussion in order to determine the amount of information that would fall within the scope of the question and the amount of time that would be required to prepare a comprehensive response. CDIC concluded that producing and validating a comprehensive response to this question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Canada Development Investment Corporation (CDEV)</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Canada Development Investment Corporation (CDEV) undertook an extensive preliminary search in order to determine the amount of information that would fall within the scope of the question and the amount of time that would be required to prepare a comprehensive response. CDEV concluded that producing and validating a comprehensive response to this question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Canada Pension Plan Investment Board (CPPIB)</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It should be noted that the CPPIB is neither a department nor an agency of the Crown and therefore, does not fall within the same guidelines for disclosure. CPPIB is subject to disclosure requirements as set out in the CPPIB Act and reports to federal and provincial finance ministers and Canadians</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Royal Canadian Mint</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Royal Canadian Mint undertook an extensive preliminary search in order to determine the amount of information that would fall within the scope of the question and the amount of time that would be required to</w:t>
            </w:r>
            <w:r w:rsidRPr="006829D8">
              <w:rPr>
                <w:rFonts w:eastAsia="Times New Roman"/>
                <w:color w:val="000000"/>
                <w:szCs w:val="20"/>
              </w:rPr>
              <w:br/>
              <w:t>prepare a comprehensive response. The Mint concluded that producing and validating a comprehensive response to this question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Global Affairs Canada (GAC)</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Global Affairs Canada undertook an extensive preliminary search in order to determine the amount of information that would fall within the scope of the question and the amount of time that would be required to prepare a comprehensive response. The information requested is not systematically tracked in a centralized database. Global Affairs Canada concluded that producing and validating a comprehensive response to this question would require a manual collection of information that is not</w:t>
            </w:r>
            <w:r w:rsidRPr="006829D8">
              <w:rPr>
                <w:rFonts w:eastAsia="Times New Roman"/>
                <w:color w:val="000000"/>
                <w:szCs w:val="20"/>
              </w:rPr>
              <w:br/>
              <w:t>possible in the time allotted and could lead to the disclosure of incomplete and misleading information. All departments undertake a reporting exercise mandated by Treasury Board related to the previous fiscal year's IM/IT expenditures. This exercise is typically completed six months after the end of the previous fiscal year to allow for thorough assessment and analysis of relevant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Immigration. Refugees and Citizenship Canada (IRCC)</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scope of the question is very large and the information requested is not systematically tracked in the departmental financial system (SAP). The expenditures (including salary expenses) related to the procurement, deployment, usage and maintenance of information technology equipment, communications equipment and software could be recorded in many different General Ledger (GL) accounts. IRCC concluded that producing and validating a comprehensive response to this question would require intensive analysis and manipulation of data that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Innovation, Science and Economic Development Canada (including special operating agencies)</w:t>
            </w:r>
          </w:p>
        </w:tc>
        <w:tc>
          <w:tcPr>
            <w:tcW w:w="7322" w:type="dxa"/>
            <w:vMerge w:val="restart"/>
            <w:tcBorders>
              <w:top w:val="nil"/>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Please note that Innovation, Science and Economic Development Canada (including special operating agencies), the Canadian Northern Economic Development Agency, the</w:t>
            </w:r>
            <w:r>
              <w:rPr>
                <w:rFonts w:eastAsia="Times New Roman"/>
                <w:color w:val="000000"/>
                <w:szCs w:val="20"/>
              </w:rPr>
              <w:t xml:space="preserve"> Copyright Board of Canada, the </w:t>
            </w:r>
            <w:r w:rsidRPr="006829D8">
              <w:rPr>
                <w:rFonts w:eastAsia="Times New Roman"/>
                <w:color w:val="000000"/>
                <w:szCs w:val="20"/>
              </w:rPr>
              <w:t>Federal Economic Development Agency for Southern Ontario, the National Research Council Canada, Statistics Canada and the Standards Council of Canada undertook an extensive preliminary search in order to determine the amount of information that would fall within the scope of the question and the amount of time that would be required to prepare a comprehensive response. The information requested is not</w:t>
            </w:r>
            <w:r w:rsidRPr="006829D8">
              <w:rPr>
                <w:rFonts w:eastAsia="Times New Roman"/>
                <w:color w:val="000000"/>
                <w:szCs w:val="20"/>
              </w:rPr>
              <w:br/>
              <w:t>systematically tracked in a centralized database. They conclude</w:t>
            </w:r>
            <w:r>
              <w:rPr>
                <w:rFonts w:eastAsia="Times New Roman"/>
                <w:color w:val="000000"/>
                <w:szCs w:val="20"/>
              </w:rPr>
              <w:t xml:space="preserve">d that producing and validating </w:t>
            </w:r>
            <w:r w:rsidRPr="006829D8">
              <w:rPr>
                <w:rFonts w:eastAsia="Times New Roman"/>
                <w:color w:val="000000"/>
                <w:szCs w:val="20"/>
              </w:rPr>
              <w:t>a comprehensive response to this question would require a manual collec</w:t>
            </w:r>
            <w:r>
              <w:rPr>
                <w:rFonts w:eastAsia="Times New Roman"/>
                <w:color w:val="000000"/>
                <w:szCs w:val="20"/>
              </w:rPr>
              <w:t xml:space="preserve">tion of information that is not </w:t>
            </w:r>
            <w:r w:rsidRPr="006829D8">
              <w:rPr>
                <w:rFonts w:eastAsia="Times New Roman"/>
                <w:color w:val="000000"/>
                <w:szCs w:val="20"/>
              </w:rPr>
              <w:t>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Northern Economic Development Agency</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 xml:space="preserve">Copyright Board of Canada </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Federal Economic Development Agency for Southern Ontario</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National Research Council Canada</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 xml:space="preserve">Statistics Canada </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Standards Council of Canada</w:t>
            </w:r>
          </w:p>
        </w:tc>
        <w:tc>
          <w:tcPr>
            <w:tcW w:w="7322" w:type="dxa"/>
            <w:vMerge/>
            <w:tcBorders>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Natural Sciences and</w:t>
            </w:r>
            <w:r w:rsidRPr="006829D8">
              <w:rPr>
                <w:rFonts w:eastAsia="Times New Roman"/>
                <w:b/>
                <w:bCs/>
                <w:color w:val="000000"/>
                <w:szCs w:val="20"/>
              </w:rPr>
              <w:br/>
              <w:t xml:space="preserve">Engineering Research Council of Canada </w:t>
            </w:r>
          </w:p>
        </w:tc>
        <w:tc>
          <w:tcPr>
            <w:tcW w:w="7322" w:type="dxa"/>
            <w:vMerge w:val="restart"/>
            <w:tcBorders>
              <w:top w:val="nil"/>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Please note that the financial and/or human resources coding systems of the Natural Sciences and Engineering Research Council of Canada and the Social Sciences and Humanities Research Council of Canada do not allow them to retrieve the data to the level of detail requested. A manual search of files and contracts, and manual calculations, would be required that cannot be completed within the timeframe provided to respond.</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Social Sciences and Humanities Research Council of Canada</w:t>
            </w:r>
          </w:p>
        </w:tc>
        <w:tc>
          <w:tcPr>
            <w:tcW w:w="7322" w:type="dxa"/>
            <w:vMerge/>
            <w:tcBorders>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Human Rights Commission</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The Canadian Human Rights Commission is unable to provide a response, as </w:t>
            </w:r>
            <w:proofErr w:type="gramStart"/>
            <w:r w:rsidRPr="006829D8">
              <w:rPr>
                <w:rFonts w:eastAsia="Times New Roman"/>
                <w:color w:val="000000"/>
                <w:szCs w:val="20"/>
              </w:rPr>
              <w:t>its</w:t>
            </w:r>
            <w:proofErr w:type="gramEnd"/>
            <w:r w:rsidRPr="006829D8">
              <w:rPr>
                <w:rFonts w:eastAsia="Times New Roman"/>
                <w:color w:val="000000"/>
                <w:szCs w:val="20"/>
              </w:rPr>
              <w:t xml:space="preserve"> Integrated Financial and Materiel System does not record information in sufficient detail to answer this question. An extensive manual search through our records would be required and is not possible within the time allotted.</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Administrative Tribunals Support Service of Canada</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Administrative Tribunals Support Service of Canada does not have the capacity to readily access the requested information. A lengthy manual search would be required and cannot be completed within the timeframe provided for response to this question.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Natural Resources Canada</w:t>
            </w:r>
          </w:p>
        </w:tc>
        <w:tc>
          <w:tcPr>
            <w:tcW w:w="7322" w:type="dxa"/>
            <w:vMerge w:val="restart"/>
            <w:tcBorders>
              <w:top w:val="nil"/>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Natural Resources Canada, Atomic Energy of Canada Limited, the Canadian Nuclear Safety Commission, and the National Energy Board undertook an extensive preliminary search in order to determine the amount of information that would fall within the scope of the question and the amount of time that would be required to prepare a comprehensive response. They concluded that producing and validating a comprehensive response to this question is not possible in the time allotted and could lead to the disclosure of incomplete and misleading</w:t>
            </w:r>
            <w:r w:rsidRPr="006829D8">
              <w:rPr>
                <w:rFonts w:eastAsia="Times New Roman"/>
                <w:color w:val="000000"/>
                <w:szCs w:val="20"/>
              </w:rPr>
              <w:br/>
              <w:t>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Atomic Energy of Canada Limited</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Nuclear Safety Commission</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National Energy Board</w:t>
            </w:r>
          </w:p>
        </w:tc>
        <w:tc>
          <w:tcPr>
            <w:tcW w:w="7322" w:type="dxa"/>
            <w:vMerge/>
            <w:tcBorders>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541"/>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Intergovernmental Conference Secretariat</w:t>
            </w:r>
          </w:p>
        </w:tc>
        <w:tc>
          <w:tcPr>
            <w:tcW w:w="7322" w:type="dxa"/>
            <w:vMerge w:val="restart"/>
            <w:tcBorders>
              <w:top w:val="nil"/>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 xml:space="preserve">As the Canadian Intergovernmental Conference Secretariat, the Public Service Commission of Canada and the Transportation Safety Board of Canada would have to undertake an extensive manual search of information to produce responses to this </w:t>
            </w:r>
            <w:proofErr w:type="gramStart"/>
            <w:r w:rsidRPr="006829D8">
              <w:rPr>
                <w:rFonts w:eastAsia="Times New Roman"/>
                <w:color w:val="000000"/>
                <w:szCs w:val="20"/>
              </w:rPr>
              <w:t>question,</w:t>
            </w:r>
            <w:proofErr w:type="gramEnd"/>
            <w:r w:rsidRPr="006829D8">
              <w:rPr>
                <w:rFonts w:eastAsia="Times New Roman"/>
                <w:color w:val="000000"/>
                <w:szCs w:val="20"/>
              </w:rPr>
              <w:t xml:space="preserve"> all three organizations are unable to respond in the allotted time.</w:t>
            </w:r>
          </w:p>
        </w:tc>
      </w:tr>
      <w:tr w:rsidR="00BC0376" w:rsidRPr="006829D8" w:rsidTr="00BC0376">
        <w:trPr>
          <w:trHeight w:val="633"/>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Public Service Commission of Canada</w:t>
            </w:r>
          </w:p>
        </w:tc>
        <w:tc>
          <w:tcPr>
            <w:tcW w:w="7322" w:type="dxa"/>
            <w:vMerge/>
            <w:tcBorders>
              <w:left w:val="nil"/>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611"/>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Transportation Safety Board of Canada</w:t>
            </w:r>
          </w:p>
        </w:tc>
        <w:tc>
          <w:tcPr>
            <w:tcW w:w="7322" w:type="dxa"/>
            <w:vMerge/>
            <w:tcBorders>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p>
        </w:tc>
      </w:tr>
      <w:tr w:rsidR="00BC0376" w:rsidRPr="006829D8" w:rsidTr="00BC0376">
        <w:trPr>
          <w:trHeight w:val="1000"/>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Canadian Security Intelligence Service (CSIS)</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Given its mandate and specific operational requirements, CSIS does not generally disclose details related to third party contractors or expenditures beyond those publicly reported in the Estimates, Public Accounts, and the Budget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Transport Canada</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Transport Canada undertook an extensive preliminary search in order to determine the amount of information that would fall within the scope of the question and the amount of time that would be required</w:t>
            </w:r>
            <w:r w:rsidRPr="006829D8">
              <w:rPr>
                <w:rFonts w:eastAsia="Times New Roman"/>
                <w:color w:val="000000"/>
                <w:szCs w:val="20"/>
              </w:rPr>
              <w:br/>
              <w:t>to prepare a comprehensive response. Transport Canada concluded that producing and validating a comprehensive response to this question is not possible in the time allotted and could lead to the disclosure of incomplete and misleading information.</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Atlantic Pilotage Authority</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Atlantic Pilotage Authority is a distinct entity operating at arm's length from Government and as such its employees are not government employees under the Public Service Employment Act and its expenditures 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 xml:space="preserve">Canadian Air Transport </w:t>
            </w:r>
            <w:proofErr w:type="spellStart"/>
            <w:r w:rsidRPr="006829D8">
              <w:rPr>
                <w:rFonts w:eastAsia="Times New Roman"/>
                <w:b/>
                <w:bCs/>
                <w:color w:val="000000"/>
                <w:szCs w:val="20"/>
              </w:rPr>
              <w:t>Securitv</w:t>
            </w:r>
            <w:proofErr w:type="spellEnd"/>
            <w:r w:rsidRPr="006829D8">
              <w:rPr>
                <w:rFonts w:eastAsia="Times New Roman"/>
                <w:b/>
                <w:bCs/>
                <w:color w:val="000000"/>
                <w:szCs w:val="20"/>
              </w:rPr>
              <w:t xml:space="preserve"> Authority</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Canadian Air Transportation Security Authority is a distinct entity operating at arm's length from Government and as such its employees are not government employees under the Public Service Employment Act and its expenditures 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Federal Bridge Corporation Limited</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Federal Bridge Corporation Limited is a distinct entity operating at arm's length from Government and as such its employees are not government employees under the Public Service Employment Act and its</w:t>
            </w:r>
            <w:r w:rsidRPr="006829D8">
              <w:rPr>
                <w:rFonts w:eastAsia="Times New Roman"/>
                <w:color w:val="000000"/>
                <w:szCs w:val="20"/>
              </w:rPr>
              <w:br/>
              <w:t>expenditures 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Great Lakes Pilotage Authority</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Great Lakes Pilotage Authority is a distinct entity operating at arm's length from Government and as</w:t>
            </w:r>
            <w:r w:rsidRPr="006829D8">
              <w:rPr>
                <w:rFonts w:eastAsia="Times New Roman"/>
                <w:color w:val="000000"/>
                <w:szCs w:val="20"/>
              </w:rPr>
              <w:br/>
              <w:t>such its employees are not government employees under the Public Service Employment Act and its</w:t>
            </w:r>
            <w:r w:rsidRPr="006829D8">
              <w:rPr>
                <w:rFonts w:eastAsia="Times New Roman"/>
                <w:color w:val="000000"/>
                <w:szCs w:val="20"/>
              </w:rPr>
              <w:br/>
              <w:t>expenditures 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Laurentian Pilotage Authority</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Laurentian Pilotage Authority is a distinct entity operating at arm's length from Government and as such its employees are not government employees under the Public Service Employment Act and its expenditures 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Marine Atlantic Inc.</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Marine Atlantic is a distinct entity operating at arm's length from Government and as such its employees are not government employees under the Public Service Employment Act and its expenditures are not</w:t>
            </w:r>
            <w:r w:rsidRPr="006829D8">
              <w:rPr>
                <w:rFonts w:eastAsia="Times New Roman"/>
                <w:color w:val="000000"/>
                <w:szCs w:val="20"/>
              </w:rPr>
              <w:br/>
              <w:t>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Pacific Pilotage Authority</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The Pacific Pilotage Authority is a distinct entity operating at arm's length from Government and as such its employees are not government employees under the Public Service Employment Act and its expenditures 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Ridley Terminals Inc.</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Ridley Terminals Inc. is a distinct entity operating at arm's length from Government and as such its employees are not government employees under the Public Service Empl</w:t>
            </w:r>
            <w:r>
              <w:rPr>
                <w:rFonts w:eastAsia="Times New Roman"/>
                <w:color w:val="000000"/>
                <w:szCs w:val="20"/>
              </w:rPr>
              <w:t xml:space="preserve">oyment Act and its expenditures </w:t>
            </w:r>
            <w:r w:rsidRPr="006829D8">
              <w:rPr>
                <w:rFonts w:eastAsia="Times New Roman"/>
                <w:color w:val="000000"/>
                <w:szCs w:val="20"/>
              </w:rPr>
              <w:t>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VIA Rail Inc.</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VIA Rail Canada Inc. is a distinct entity operating at arm's length from Government and as such its employees are not government employees under the Public Service Empl</w:t>
            </w:r>
            <w:r>
              <w:rPr>
                <w:rFonts w:eastAsia="Times New Roman"/>
                <w:color w:val="000000"/>
                <w:szCs w:val="20"/>
              </w:rPr>
              <w:t xml:space="preserve">oyment Act and its expenditures </w:t>
            </w:r>
            <w:r w:rsidRPr="006829D8">
              <w:rPr>
                <w:rFonts w:eastAsia="Times New Roman"/>
                <w:color w:val="000000"/>
                <w:szCs w:val="20"/>
              </w:rPr>
              <w:t>are not considered government expenditures under the Financial Administration Act.</w:t>
            </w:r>
          </w:p>
        </w:tc>
      </w:tr>
      <w:tr w:rsidR="00BC0376" w:rsidRPr="006829D8" w:rsidTr="00BC0376">
        <w:trPr>
          <w:trHeight w:val="315"/>
        </w:trPr>
        <w:tc>
          <w:tcPr>
            <w:tcW w:w="3701" w:type="dxa"/>
            <w:tcBorders>
              <w:top w:val="nil"/>
              <w:left w:val="single" w:sz="4" w:space="0" w:color="95B3D7"/>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b/>
                <w:bCs/>
                <w:color w:val="000000"/>
                <w:szCs w:val="20"/>
              </w:rPr>
            </w:pPr>
            <w:r w:rsidRPr="006829D8">
              <w:rPr>
                <w:rFonts w:eastAsia="Times New Roman"/>
                <w:b/>
                <w:bCs/>
                <w:color w:val="000000"/>
                <w:szCs w:val="20"/>
              </w:rPr>
              <w:t>Public Sector Pension Investment Board</w:t>
            </w:r>
          </w:p>
        </w:tc>
        <w:tc>
          <w:tcPr>
            <w:tcW w:w="7322" w:type="dxa"/>
            <w:tcBorders>
              <w:top w:val="nil"/>
              <w:left w:val="nil"/>
              <w:bottom w:val="single" w:sz="4" w:space="0" w:color="95B3D7"/>
              <w:right w:val="single" w:sz="4" w:space="0" w:color="95B3D7"/>
            </w:tcBorders>
            <w:shd w:val="clear" w:color="auto" w:fill="auto"/>
            <w:vAlign w:val="center"/>
            <w:hideMark/>
          </w:tcPr>
          <w:p w:rsidR="00BC0376" w:rsidRPr="006829D8" w:rsidRDefault="00BC0376" w:rsidP="006829D8">
            <w:pPr>
              <w:rPr>
                <w:rFonts w:eastAsia="Times New Roman"/>
                <w:color w:val="000000"/>
                <w:szCs w:val="20"/>
              </w:rPr>
            </w:pPr>
            <w:r w:rsidRPr="006829D8">
              <w:rPr>
                <w:rFonts w:eastAsia="Times New Roman"/>
                <w:color w:val="000000"/>
                <w:szCs w:val="20"/>
              </w:rPr>
              <w:t>It should be noted that the Public Sector Pension Investment Board (PSPIB) is neither a department nor an agency of the Crown and therefore, does not fall within the same guidelines for disclosure. PSPIB is subject to disclosure requirements as set out in the PSPIB Act and the Access to Information Act and reports to the President of Treasury Board.</w:t>
            </w:r>
          </w:p>
        </w:tc>
      </w:tr>
    </w:tbl>
    <w:p w:rsidR="00F26989" w:rsidRDefault="00D97775"/>
    <w:p w:rsidR="006829D8" w:rsidRDefault="006829D8"/>
    <w:p w:rsidR="006829D8" w:rsidRDefault="006829D8"/>
    <w:sectPr w:rsidR="006829D8" w:rsidSect="006829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D8" w:rsidRDefault="006829D8" w:rsidP="006829D8">
      <w:pPr>
        <w:spacing w:line="240" w:lineRule="auto"/>
      </w:pPr>
      <w:r>
        <w:separator/>
      </w:r>
    </w:p>
  </w:endnote>
  <w:endnote w:type="continuationSeparator" w:id="0">
    <w:p w:rsidR="006829D8" w:rsidRDefault="006829D8" w:rsidP="00682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D8" w:rsidRDefault="006829D8" w:rsidP="006829D8">
      <w:pPr>
        <w:spacing w:line="240" w:lineRule="auto"/>
      </w:pPr>
      <w:r>
        <w:separator/>
      </w:r>
    </w:p>
  </w:footnote>
  <w:footnote w:type="continuationSeparator" w:id="0">
    <w:p w:rsidR="006829D8" w:rsidRDefault="006829D8" w:rsidP="006829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D5988"/>
    <w:multiLevelType w:val="hybridMultilevel"/>
    <w:tmpl w:val="DE5E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75426"/>
    <w:multiLevelType w:val="hybridMultilevel"/>
    <w:tmpl w:val="1EFE4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D8"/>
    <w:rsid w:val="002E2109"/>
    <w:rsid w:val="006829D8"/>
    <w:rsid w:val="009277E6"/>
    <w:rsid w:val="00A550C4"/>
    <w:rsid w:val="00BC0376"/>
    <w:rsid w:val="00D97775"/>
    <w:rsid w:val="00EA61B8"/>
    <w:rsid w:val="00EC6C84"/>
    <w:rsid w:val="00EF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09"/>
    <w:pPr>
      <w:jc w:val="left"/>
    </w:pPr>
  </w:style>
  <w:style w:type="paragraph" w:styleId="Heading1">
    <w:name w:val="heading 1"/>
    <w:basedOn w:val="Normal"/>
    <w:next w:val="Normal"/>
    <w:link w:val="Heading1Char"/>
    <w:uiPriority w:val="9"/>
    <w:qFormat/>
    <w:rsid w:val="00EC6C8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6C84"/>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6C84"/>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EC6C84"/>
    <w:rPr>
      <w:rFonts w:ascii="Arial" w:eastAsiaTheme="majorEastAsia" w:hAnsi="Arial" w:cstheme="majorBidi"/>
      <w:b/>
      <w:bCs/>
      <w:color w:val="365F91" w:themeColor="accent1" w:themeShade="BF"/>
      <w:sz w:val="28"/>
      <w:szCs w:val="28"/>
    </w:rPr>
  </w:style>
  <w:style w:type="paragraph" w:styleId="NoSpacing">
    <w:name w:val="No Spacing"/>
    <w:uiPriority w:val="1"/>
    <w:qFormat/>
    <w:rsid w:val="00EC6C84"/>
    <w:pPr>
      <w:spacing w:line="240" w:lineRule="auto"/>
    </w:pPr>
  </w:style>
  <w:style w:type="character" w:styleId="IntenseEmphasis">
    <w:name w:val="Intense Emphasis"/>
    <w:basedOn w:val="DefaultParagraphFont"/>
    <w:uiPriority w:val="21"/>
    <w:qFormat/>
    <w:rsid w:val="00EC6C84"/>
    <w:rPr>
      <w:rFonts w:ascii="Arial" w:hAnsi="Arial"/>
      <w:b/>
      <w:bCs/>
      <w:i/>
      <w:iCs/>
      <w:color w:val="4F81BD" w:themeColor="accent1"/>
    </w:rPr>
  </w:style>
  <w:style w:type="paragraph" w:styleId="Subtitle">
    <w:name w:val="Subtitle"/>
    <w:basedOn w:val="Normal"/>
    <w:next w:val="Normal"/>
    <w:link w:val="SubtitleChar"/>
    <w:uiPriority w:val="11"/>
    <w:qFormat/>
    <w:rsid w:val="00EC6C8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6C84"/>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EC6C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C84"/>
    <w:rPr>
      <w:rFonts w:ascii="Arial" w:eastAsiaTheme="majorEastAsia" w:hAnsi="Arial" w:cstheme="majorBidi"/>
      <w:color w:val="17365D" w:themeColor="text2" w:themeShade="BF"/>
      <w:spacing w:val="5"/>
      <w:kern w:val="28"/>
      <w:sz w:val="52"/>
      <w:szCs w:val="52"/>
    </w:rPr>
  </w:style>
  <w:style w:type="character" w:styleId="SubtleEmphasis">
    <w:name w:val="Subtle Emphasis"/>
    <w:basedOn w:val="DefaultParagraphFont"/>
    <w:uiPriority w:val="19"/>
    <w:qFormat/>
    <w:rsid w:val="00EC6C84"/>
    <w:rPr>
      <w:rFonts w:ascii="Arial" w:hAnsi="Arial"/>
      <w:i/>
      <w:iCs/>
      <w:color w:val="808080" w:themeColor="text1" w:themeTint="7F"/>
    </w:rPr>
  </w:style>
  <w:style w:type="character" w:styleId="Emphasis">
    <w:name w:val="Emphasis"/>
    <w:basedOn w:val="DefaultParagraphFont"/>
    <w:uiPriority w:val="20"/>
    <w:qFormat/>
    <w:rsid w:val="00EC6C84"/>
    <w:rPr>
      <w:rFonts w:ascii="Arial" w:hAnsi="Arial"/>
      <w:i/>
      <w:iCs/>
    </w:rPr>
  </w:style>
  <w:style w:type="paragraph" w:styleId="EndnoteText">
    <w:name w:val="endnote text"/>
    <w:basedOn w:val="Normal"/>
    <w:link w:val="EndnoteTextChar"/>
    <w:uiPriority w:val="99"/>
    <w:semiHidden/>
    <w:unhideWhenUsed/>
    <w:rsid w:val="006829D8"/>
    <w:pPr>
      <w:spacing w:line="240" w:lineRule="auto"/>
    </w:pPr>
    <w:rPr>
      <w:szCs w:val="20"/>
    </w:rPr>
  </w:style>
  <w:style w:type="character" w:customStyle="1" w:styleId="EndnoteTextChar">
    <w:name w:val="Endnote Text Char"/>
    <w:basedOn w:val="DefaultParagraphFont"/>
    <w:link w:val="EndnoteText"/>
    <w:uiPriority w:val="99"/>
    <w:semiHidden/>
    <w:rsid w:val="006829D8"/>
    <w:rPr>
      <w:szCs w:val="20"/>
    </w:rPr>
  </w:style>
  <w:style w:type="character" w:styleId="EndnoteReference">
    <w:name w:val="endnote reference"/>
    <w:basedOn w:val="DefaultParagraphFont"/>
    <w:uiPriority w:val="99"/>
    <w:semiHidden/>
    <w:unhideWhenUsed/>
    <w:rsid w:val="006829D8"/>
    <w:rPr>
      <w:vertAlign w:val="superscript"/>
    </w:rPr>
  </w:style>
  <w:style w:type="paragraph" w:styleId="ListParagraph">
    <w:name w:val="List Paragraph"/>
    <w:basedOn w:val="Normal"/>
    <w:uiPriority w:val="34"/>
    <w:qFormat/>
    <w:rsid w:val="00682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09"/>
    <w:pPr>
      <w:jc w:val="left"/>
    </w:pPr>
  </w:style>
  <w:style w:type="paragraph" w:styleId="Heading1">
    <w:name w:val="heading 1"/>
    <w:basedOn w:val="Normal"/>
    <w:next w:val="Normal"/>
    <w:link w:val="Heading1Char"/>
    <w:uiPriority w:val="9"/>
    <w:qFormat/>
    <w:rsid w:val="00EC6C8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6C84"/>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6C84"/>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EC6C84"/>
    <w:rPr>
      <w:rFonts w:ascii="Arial" w:eastAsiaTheme="majorEastAsia" w:hAnsi="Arial" w:cstheme="majorBidi"/>
      <w:b/>
      <w:bCs/>
      <w:color w:val="365F91" w:themeColor="accent1" w:themeShade="BF"/>
      <w:sz w:val="28"/>
      <w:szCs w:val="28"/>
    </w:rPr>
  </w:style>
  <w:style w:type="paragraph" w:styleId="NoSpacing">
    <w:name w:val="No Spacing"/>
    <w:uiPriority w:val="1"/>
    <w:qFormat/>
    <w:rsid w:val="00EC6C84"/>
    <w:pPr>
      <w:spacing w:line="240" w:lineRule="auto"/>
    </w:pPr>
  </w:style>
  <w:style w:type="character" w:styleId="IntenseEmphasis">
    <w:name w:val="Intense Emphasis"/>
    <w:basedOn w:val="DefaultParagraphFont"/>
    <w:uiPriority w:val="21"/>
    <w:qFormat/>
    <w:rsid w:val="00EC6C84"/>
    <w:rPr>
      <w:rFonts w:ascii="Arial" w:hAnsi="Arial"/>
      <w:b/>
      <w:bCs/>
      <w:i/>
      <w:iCs/>
      <w:color w:val="4F81BD" w:themeColor="accent1"/>
    </w:rPr>
  </w:style>
  <w:style w:type="paragraph" w:styleId="Subtitle">
    <w:name w:val="Subtitle"/>
    <w:basedOn w:val="Normal"/>
    <w:next w:val="Normal"/>
    <w:link w:val="SubtitleChar"/>
    <w:uiPriority w:val="11"/>
    <w:qFormat/>
    <w:rsid w:val="00EC6C8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6C84"/>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EC6C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C84"/>
    <w:rPr>
      <w:rFonts w:ascii="Arial" w:eastAsiaTheme="majorEastAsia" w:hAnsi="Arial" w:cstheme="majorBidi"/>
      <w:color w:val="17365D" w:themeColor="text2" w:themeShade="BF"/>
      <w:spacing w:val="5"/>
      <w:kern w:val="28"/>
      <w:sz w:val="52"/>
      <w:szCs w:val="52"/>
    </w:rPr>
  </w:style>
  <w:style w:type="character" w:styleId="SubtleEmphasis">
    <w:name w:val="Subtle Emphasis"/>
    <w:basedOn w:val="DefaultParagraphFont"/>
    <w:uiPriority w:val="19"/>
    <w:qFormat/>
    <w:rsid w:val="00EC6C84"/>
    <w:rPr>
      <w:rFonts w:ascii="Arial" w:hAnsi="Arial"/>
      <w:i/>
      <w:iCs/>
      <w:color w:val="808080" w:themeColor="text1" w:themeTint="7F"/>
    </w:rPr>
  </w:style>
  <w:style w:type="character" w:styleId="Emphasis">
    <w:name w:val="Emphasis"/>
    <w:basedOn w:val="DefaultParagraphFont"/>
    <w:uiPriority w:val="20"/>
    <w:qFormat/>
    <w:rsid w:val="00EC6C84"/>
    <w:rPr>
      <w:rFonts w:ascii="Arial" w:hAnsi="Arial"/>
      <w:i/>
      <w:iCs/>
    </w:rPr>
  </w:style>
  <w:style w:type="paragraph" w:styleId="EndnoteText">
    <w:name w:val="endnote text"/>
    <w:basedOn w:val="Normal"/>
    <w:link w:val="EndnoteTextChar"/>
    <w:uiPriority w:val="99"/>
    <w:semiHidden/>
    <w:unhideWhenUsed/>
    <w:rsid w:val="006829D8"/>
    <w:pPr>
      <w:spacing w:line="240" w:lineRule="auto"/>
    </w:pPr>
    <w:rPr>
      <w:szCs w:val="20"/>
    </w:rPr>
  </w:style>
  <w:style w:type="character" w:customStyle="1" w:styleId="EndnoteTextChar">
    <w:name w:val="Endnote Text Char"/>
    <w:basedOn w:val="DefaultParagraphFont"/>
    <w:link w:val="EndnoteText"/>
    <w:uiPriority w:val="99"/>
    <w:semiHidden/>
    <w:rsid w:val="006829D8"/>
    <w:rPr>
      <w:szCs w:val="20"/>
    </w:rPr>
  </w:style>
  <w:style w:type="character" w:styleId="EndnoteReference">
    <w:name w:val="endnote reference"/>
    <w:basedOn w:val="DefaultParagraphFont"/>
    <w:uiPriority w:val="99"/>
    <w:semiHidden/>
    <w:unhideWhenUsed/>
    <w:rsid w:val="006829D8"/>
    <w:rPr>
      <w:vertAlign w:val="superscript"/>
    </w:rPr>
  </w:style>
  <w:style w:type="paragraph" w:styleId="ListParagraph">
    <w:name w:val="List Paragraph"/>
    <w:basedOn w:val="Normal"/>
    <w:uiPriority w:val="34"/>
    <w:qFormat/>
    <w:rsid w:val="0068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4328">
      <w:bodyDiv w:val="1"/>
      <w:marLeft w:val="0"/>
      <w:marRight w:val="0"/>
      <w:marTop w:val="0"/>
      <w:marBottom w:val="0"/>
      <w:divBdr>
        <w:top w:val="none" w:sz="0" w:space="0" w:color="auto"/>
        <w:left w:val="none" w:sz="0" w:space="0" w:color="auto"/>
        <w:bottom w:val="none" w:sz="0" w:space="0" w:color="auto"/>
        <w:right w:val="none" w:sz="0" w:space="0" w:color="auto"/>
      </w:divBdr>
    </w:div>
    <w:div w:id="222377775">
      <w:bodyDiv w:val="1"/>
      <w:marLeft w:val="0"/>
      <w:marRight w:val="0"/>
      <w:marTop w:val="0"/>
      <w:marBottom w:val="0"/>
      <w:divBdr>
        <w:top w:val="none" w:sz="0" w:space="0" w:color="auto"/>
        <w:left w:val="none" w:sz="0" w:space="0" w:color="auto"/>
        <w:bottom w:val="none" w:sz="0" w:space="0" w:color="auto"/>
        <w:right w:val="none" w:sz="0" w:space="0" w:color="auto"/>
      </w:divBdr>
    </w:div>
    <w:div w:id="299114427">
      <w:bodyDiv w:val="1"/>
      <w:marLeft w:val="0"/>
      <w:marRight w:val="0"/>
      <w:marTop w:val="0"/>
      <w:marBottom w:val="0"/>
      <w:divBdr>
        <w:top w:val="none" w:sz="0" w:space="0" w:color="auto"/>
        <w:left w:val="none" w:sz="0" w:space="0" w:color="auto"/>
        <w:bottom w:val="none" w:sz="0" w:space="0" w:color="auto"/>
        <w:right w:val="none" w:sz="0" w:space="0" w:color="auto"/>
      </w:divBdr>
    </w:div>
    <w:div w:id="512303080">
      <w:bodyDiv w:val="1"/>
      <w:marLeft w:val="0"/>
      <w:marRight w:val="0"/>
      <w:marTop w:val="0"/>
      <w:marBottom w:val="0"/>
      <w:divBdr>
        <w:top w:val="none" w:sz="0" w:space="0" w:color="auto"/>
        <w:left w:val="none" w:sz="0" w:space="0" w:color="auto"/>
        <w:bottom w:val="none" w:sz="0" w:space="0" w:color="auto"/>
        <w:right w:val="none" w:sz="0" w:space="0" w:color="auto"/>
      </w:divBdr>
    </w:div>
    <w:div w:id="536771782">
      <w:bodyDiv w:val="1"/>
      <w:marLeft w:val="0"/>
      <w:marRight w:val="0"/>
      <w:marTop w:val="0"/>
      <w:marBottom w:val="0"/>
      <w:divBdr>
        <w:top w:val="none" w:sz="0" w:space="0" w:color="auto"/>
        <w:left w:val="none" w:sz="0" w:space="0" w:color="auto"/>
        <w:bottom w:val="none" w:sz="0" w:space="0" w:color="auto"/>
        <w:right w:val="none" w:sz="0" w:space="0" w:color="auto"/>
      </w:divBdr>
    </w:div>
    <w:div w:id="809711288">
      <w:bodyDiv w:val="1"/>
      <w:marLeft w:val="0"/>
      <w:marRight w:val="0"/>
      <w:marTop w:val="0"/>
      <w:marBottom w:val="0"/>
      <w:divBdr>
        <w:top w:val="none" w:sz="0" w:space="0" w:color="auto"/>
        <w:left w:val="none" w:sz="0" w:space="0" w:color="auto"/>
        <w:bottom w:val="none" w:sz="0" w:space="0" w:color="auto"/>
        <w:right w:val="none" w:sz="0" w:space="0" w:color="auto"/>
      </w:divBdr>
    </w:div>
    <w:div w:id="1046568420">
      <w:bodyDiv w:val="1"/>
      <w:marLeft w:val="0"/>
      <w:marRight w:val="0"/>
      <w:marTop w:val="0"/>
      <w:marBottom w:val="0"/>
      <w:divBdr>
        <w:top w:val="none" w:sz="0" w:space="0" w:color="auto"/>
        <w:left w:val="none" w:sz="0" w:space="0" w:color="auto"/>
        <w:bottom w:val="none" w:sz="0" w:space="0" w:color="auto"/>
        <w:right w:val="none" w:sz="0" w:space="0" w:color="auto"/>
      </w:divBdr>
    </w:div>
    <w:div w:id="1126965620">
      <w:bodyDiv w:val="1"/>
      <w:marLeft w:val="0"/>
      <w:marRight w:val="0"/>
      <w:marTop w:val="0"/>
      <w:marBottom w:val="0"/>
      <w:divBdr>
        <w:top w:val="none" w:sz="0" w:space="0" w:color="auto"/>
        <w:left w:val="none" w:sz="0" w:space="0" w:color="auto"/>
        <w:bottom w:val="none" w:sz="0" w:space="0" w:color="auto"/>
        <w:right w:val="none" w:sz="0" w:space="0" w:color="auto"/>
      </w:divBdr>
    </w:div>
    <w:div w:id="1192377689">
      <w:bodyDiv w:val="1"/>
      <w:marLeft w:val="0"/>
      <w:marRight w:val="0"/>
      <w:marTop w:val="0"/>
      <w:marBottom w:val="0"/>
      <w:divBdr>
        <w:top w:val="none" w:sz="0" w:space="0" w:color="auto"/>
        <w:left w:val="none" w:sz="0" w:space="0" w:color="auto"/>
        <w:bottom w:val="none" w:sz="0" w:space="0" w:color="auto"/>
        <w:right w:val="none" w:sz="0" w:space="0" w:color="auto"/>
      </w:divBdr>
    </w:div>
    <w:div w:id="1250774621">
      <w:bodyDiv w:val="1"/>
      <w:marLeft w:val="0"/>
      <w:marRight w:val="0"/>
      <w:marTop w:val="0"/>
      <w:marBottom w:val="0"/>
      <w:divBdr>
        <w:top w:val="none" w:sz="0" w:space="0" w:color="auto"/>
        <w:left w:val="none" w:sz="0" w:space="0" w:color="auto"/>
        <w:bottom w:val="none" w:sz="0" w:space="0" w:color="auto"/>
        <w:right w:val="none" w:sz="0" w:space="0" w:color="auto"/>
      </w:divBdr>
    </w:div>
    <w:div w:id="1532764928">
      <w:bodyDiv w:val="1"/>
      <w:marLeft w:val="0"/>
      <w:marRight w:val="0"/>
      <w:marTop w:val="0"/>
      <w:marBottom w:val="0"/>
      <w:divBdr>
        <w:top w:val="none" w:sz="0" w:space="0" w:color="auto"/>
        <w:left w:val="none" w:sz="0" w:space="0" w:color="auto"/>
        <w:bottom w:val="none" w:sz="0" w:space="0" w:color="auto"/>
        <w:right w:val="none" w:sz="0" w:space="0" w:color="auto"/>
      </w:divBdr>
    </w:div>
    <w:div w:id="1661082428">
      <w:bodyDiv w:val="1"/>
      <w:marLeft w:val="0"/>
      <w:marRight w:val="0"/>
      <w:marTop w:val="0"/>
      <w:marBottom w:val="0"/>
      <w:divBdr>
        <w:top w:val="none" w:sz="0" w:space="0" w:color="auto"/>
        <w:left w:val="none" w:sz="0" w:space="0" w:color="auto"/>
        <w:bottom w:val="none" w:sz="0" w:space="0" w:color="auto"/>
        <w:right w:val="none" w:sz="0" w:space="0" w:color="auto"/>
      </w:divBdr>
    </w:div>
    <w:div w:id="1705213437">
      <w:bodyDiv w:val="1"/>
      <w:marLeft w:val="0"/>
      <w:marRight w:val="0"/>
      <w:marTop w:val="0"/>
      <w:marBottom w:val="0"/>
      <w:divBdr>
        <w:top w:val="none" w:sz="0" w:space="0" w:color="auto"/>
        <w:left w:val="none" w:sz="0" w:space="0" w:color="auto"/>
        <w:bottom w:val="none" w:sz="0" w:space="0" w:color="auto"/>
        <w:right w:val="none" w:sz="0" w:space="0" w:color="auto"/>
      </w:divBdr>
    </w:div>
    <w:div w:id="1912420564">
      <w:bodyDiv w:val="1"/>
      <w:marLeft w:val="0"/>
      <w:marRight w:val="0"/>
      <w:marTop w:val="0"/>
      <w:marBottom w:val="0"/>
      <w:divBdr>
        <w:top w:val="none" w:sz="0" w:space="0" w:color="auto"/>
        <w:left w:val="none" w:sz="0" w:space="0" w:color="auto"/>
        <w:bottom w:val="none" w:sz="0" w:space="0" w:color="auto"/>
        <w:right w:val="none" w:sz="0" w:space="0" w:color="auto"/>
      </w:divBdr>
    </w:div>
    <w:div w:id="1975255863">
      <w:bodyDiv w:val="1"/>
      <w:marLeft w:val="0"/>
      <w:marRight w:val="0"/>
      <w:marTop w:val="0"/>
      <w:marBottom w:val="0"/>
      <w:divBdr>
        <w:top w:val="none" w:sz="0" w:space="0" w:color="auto"/>
        <w:left w:val="none" w:sz="0" w:space="0" w:color="auto"/>
        <w:bottom w:val="none" w:sz="0" w:space="0" w:color="auto"/>
        <w:right w:val="none" w:sz="0" w:space="0" w:color="auto"/>
      </w:divBdr>
    </w:div>
    <w:div w:id="2058970538">
      <w:bodyDiv w:val="1"/>
      <w:marLeft w:val="0"/>
      <w:marRight w:val="0"/>
      <w:marTop w:val="0"/>
      <w:marBottom w:val="0"/>
      <w:divBdr>
        <w:top w:val="none" w:sz="0" w:space="0" w:color="auto"/>
        <w:left w:val="none" w:sz="0" w:space="0" w:color="auto"/>
        <w:bottom w:val="none" w:sz="0" w:space="0" w:color="auto"/>
        <w:right w:val="none" w:sz="0" w:space="0" w:color="auto"/>
      </w:divBdr>
    </w:div>
    <w:div w:id="21358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6106-3B14-4826-88D2-BB6194D6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CHG</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Wall</dc:creator>
  <cp:lastModifiedBy>Emma Wall</cp:lastModifiedBy>
  <cp:revision>2</cp:revision>
  <dcterms:created xsi:type="dcterms:W3CDTF">2019-06-27T16:28:00Z</dcterms:created>
  <dcterms:modified xsi:type="dcterms:W3CDTF">2019-06-27T16:40:00Z</dcterms:modified>
</cp:coreProperties>
</file>